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B2CA8" w14:textId="77777777" w:rsidR="001052B9" w:rsidRDefault="00357C36">
      <w:pPr>
        <w:rPr>
          <w:rFonts w:cs="Arial"/>
          <w:b/>
          <w:bCs/>
        </w:rPr>
      </w:pPr>
      <w:r>
        <w:rPr>
          <w:rFonts w:cs="Arial"/>
          <w:b/>
          <w:bCs/>
        </w:rPr>
        <w:t xml:space="preserve">Reviewers:  </w:t>
      </w:r>
      <w:r w:rsidR="00F17B13">
        <w:rPr>
          <w:rFonts w:cs="Arial"/>
          <w:b/>
          <w:bCs/>
        </w:rPr>
        <w:t>“</w:t>
      </w:r>
      <w:r>
        <w:rPr>
          <w:rFonts w:cs="Arial"/>
          <w:b/>
          <w:bCs/>
        </w:rPr>
        <w:t>Structural Steel Requirements</w:t>
      </w:r>
      <w:r w:rsidR="00F17B13">
        <w:rPr>
          <w:rFonts w:cs="Arial"/>
          <w:b/>
          <w:bCs/>
        </w:rPr>
        <w:t>”</w:t>
      </w:r>
      <w:r>
        <w:rPr>
          <w:rFonts w:cs="Arial"/>
          <w:b/>
          <w:bCs/>
        </w:rPr>
        <w:t xml:space="preserve"> </w:t>
      </w:r>
      <w:r w:rsidR="00C46D3E">
        <w:rPr>
          <w:rFonts w:cs="Arial"/>
          <w:b/>
          <w:bCs/>
        </w:rPr>
        <w:t xml:space="preserve">BSP </w:t>
      </w:r>
      <w:r>
        <w:rPr>
          <w:rFonts w:cs="Arial"/>
          <w:b/>
          <w:bCs/>
        </w:rPr>
        <w:t>not required unless widening bridge.  Replace number symbols with correct number</w:t>
      </w:r>
      <w:r w:rsidR="00C46D3E">
        <w:rPr>
          <w:rFonts w:cs="Arial"/>
          <w:b/>
          <w:bCs/>
        </w:rPr>
        <w:t xml:space="preserve"> of connections</w:t>
      </w:r>
      <w:r>
        <w:rPr>
          <w:rFonts w:cs="Arial"/>
          <w:b/>
          <w:bCs/>
        </w:rPr>
        <w:t>.</w:t>
      </w:r>
    </w:p>
    <w:p w14:paraId="00ACFFE1" w14:textId="77777777" w:rsidR="001052B9" w:rsidRDefault="001052B9">
      <w:pPr>
        <w:rPr>
          <w:rFonts w:cs="Arial"/>
        </w:rPr>
      </w:pPr>
    </w:p>
    <w:p w14:paraId="07E0FBDC" w14:textId="77777777" w:rsidR="001052B9" w:rsidRDefault="00357C36">
      <w:pPr>
        <w:rPr>
          <w:rFonts w:cs="Arial"/>
        </w:rPr>
      </w:pPr>
      <w:r>
        <w:rPr>
          <w:rFonts w:cs="Arial"/>
        </w:rPr>
        <w:tab/>
      </w:r>
      <w:r>
        <w:rPr>
          <w:rFonts w:cs="Arial"/>
          <w:u w:val="single"/>
        </w:rPr>
        <w:t>EXISTING DIAPHRAGM CONNECTION TO FLANGE</w:t>
      </w:r>
      <w:r w:rsidR="00A7221C">
        <w:rPr>
          <w:rFonts w:cs="Arial"/>
        </w:rPr>
        <w:tab/>
      </w:r>
      <w:r w:rsidR="00A7221C">
        <w:rPr>
          <w:rFonts w:cs="Arial"/>
        </w:rPr>
        <w:tab/>
      </w:r>
      <w:r w:rsidR="00C46D3E">
        <w:rPr>
          <w:rFonts w:cs="Arial"/>
        </w:rPr>
        <w:t>3/</w:t>
      </w:r>
      <w:r w:rsidR="00501E26">
        <w:rPr>
          <w:rFonts w:cs="Arial"/>
        </w:rPr>
        <w:t>3</w:t>
      </w:r>
      <w:r w:rsidR="00C46D3E">
        <w:rPr>
          <w:rFonts w:cs="Arial"/>
        </w:rPr>
        <w:t>0/20</w:t>
      </w:r>
    </w:p>
    <w:p w14:paraId="5D2AE556" w14:textId="77777777" w:rsidR="001052B9" w:rsidRDefault="001052B9"/>
    <w:p w14:paraId="51AD0558" w14:textId="77777777" w:rsidR="001052B9" w:rsidRDefault="00357C36">
      <w:r>
        <w:rPr>
          <w:b/>
        </w:rPr>
        <w:t>1.0  Description.</w:t>
      </w:r>
      <w:r>
        <w:rPr>
          <w:bCs/>
        </w:rPr>
        <w:t xml:space="preserve">  </w:t>
      </w:r>
      <w:r>
        <w:t xml:space="preserve">This item of work consists of furnishing, fabricating and installing the </w:t>
      </w:r>
      <w:r w:rsidR="00D57A3E">
        <w:t xml:space="preserve">tension </w:t>
      </w:r>
      <w:r>
        <w:t>flange to diaphragm connections as shown on the bridge plans.</w:t>
      </w:r>
    </w:p>
    <w:p w14:paraId="75B2F51B" w14:textId="77777777" w:rsidR="001052B9" w:rsidRDefault="001052B9"/>
    <w:p w14:paraId="6D71FB7A" w14:textId="77777777" w:rsidR="001052B9" w:rsidRDefault="00357C36">
      <w:pPr>
        <w:rPr>
          <w:rFonts w:cs="Arial"/>
        </w:rPr>
      </w:pPr>
      <w:r>
        <w:rPr>
          <w:b/>
          <w:bCs/>
        </w:rPr>
        <w:t xml:space="preserve">2.0  Material.  </w:t>
      </w:r>
      <w:r>
        <w:t xml:space="preserve">All material shall be in accordance with </w:t>
      </w:r>
      <w:r w:rsidRPr="00E83783">
        <w:rPr>
          <w:color w:val="0000FF"/>
        </w:rPr>
        <w:t>Division 1000</w:t>
      </w:r>
      <w:r>
        <w:t xml:space="preserve">, Material Details, and specifically as shown below.  The State estimates that there </w:t>
      </w:r>
      <w:proofErr w:type="gramStart"/>
      <w:r>
        <w:t>are</w:t>
      </w:r>
      <w:proofErr w:type="gramEnd"/>
      <w:r>
        <w:t xml:space="preserve"> approximately </w:t>
      </w:r>
      <w:r>
        <w:rPr>
          <w:color w:val="FF0000"/>
        </w:rPr>
        <w:t>##</w:t>
      </w:r>
      <w:r>
        <w:t xml:space="preserve"> existing diaphragm connection plate to </w:t>
      </w:r>
      <w:r w:rsidR="00D57A3E">
        <w:t xml:space="preserve">tension </w:t>
      </w:r>
      <w:r>
        <w:t xml:space="preserve">flange connections.  Top and bottom flange connections are each counted as a separate connection.  </w:t>
      </w:r>
      <w:r>
        <w:rPr>
          <w:rFonts w:cs="Arial"/>
        </w:rPr>
        <w:t xml:space="preserve">The gray epoxy-mastic primer (non-aluminum) shall be compatible with concrete and produce a dry film thickness of no less than 3 mils (75 </w:t>
      </w:r>
      <w:proofErr w:type="spellStart"/>
      <w:r>
        <w:rPr>
          <w:rFonts w:cs="Arial"/>
          <w:szCs w:val="26"/>
        </w:rPr>
        <w:t>μ</w:t>
      </w:r>
      <w:r>
        <w:rPr>
          <w:rFonts w:cs="Arial"/>
        </w:rPr>
        <w:t>m</w:t>
      </w:r>
      <w:proofErr w:type="spellEnd"/>
      <w:r>
        <w:rPr>
          <w:rFonts w:cs="Arial"/>
        </w:rPr>
        <w:t>).</w:t>
      </w:r>
      <w:bookmarkStart w:id="0" w:name="_GoBack"/>
      <w:bookmarkEnd w:id="0"/>
    </w:p>
    <w:p w14:paraId="48C95C19" w14:textId="77777777" w:rsidR="001052B9" w:rsidRDefault="001052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1"/>
        <w:gridCol w:w="1198"/>
      </w:tblGrid>
      <w:tr w:rsidR="001052B9" w14:paraId="2A1B00E6" w14:textId="77777777">
        <w:trPr>
          <w:cantSplit/>
          <w:trHeight w:val="288"/>
          <w:tblHeader/>
          <w:jc w:val="center"/>
        </w:trPr>
        <w:tc>
          <w:tcPr>
            <w:tcW w:w="4591" w:type="dxa"/>
            <w:vAlign w:val="center"/>
          </w:tcPr>
          <w:p w14:paraId="6FDF10C2" w14:textId="77777777" w:rsidR="001052B9" w:rsidRDefault="00357C36">
            <w:pPr>
              <w:jc w:val="center"/>
              <w:rPr>
                <w:b/>
                <w:bCs/>
              </w:rPr>
            </w:pPr>
            <w:r>
              <w:rPr>
                <w:b/>
                <w:bCs/>
              </w:rPr>
              <w:t>Item</w:t>
            </w:r>
          </w:p>
        </w:tc>
        <w:tc>
          <w:tcPr>
            <w:tcW w:w="1198" w:type="dxa"/>
            <w:vAlign w:val="center"/>
          </w:tcPr>
          <w:p w14:paraId="5B92CEF9" w14:textId="77777777" w:rsidR="001052B9" w:rsidRDefault="00357C36">
            <w:pPr>
              <w:jc w:val="center"/>
              <w:rPr>
                <w:b/>
                <w:bCs/>
              </w:rPr>
            </w:pPr>
            <w:r>
              <w:rPr>
                <w:b/>
                <w:bCs/>
              </w:rPr>
              <w:t>Section</w:t>
            </w:r>
          </w:p>
        </w:tc>
      </w:tr>
      <w:tr w:rsidR="001052B9" w14:paraId="29F61EB5" w14:textId="77777777">
        <w:trPr>
          <w:cantSplit/>
          <w:trHeight w:val="288"/>
          <w:jc w:val="center"/>
        </w:trPr>
        <w:tc>
          <w:tcPr>
            <w:tcW w:w="4591" w:type="dxa"/>
            <w:vAlign w:val="center"/>
          </w:tcPr>
          <w:p w14:paraId="68FE343F" w14:textId="77777777" w:rsidR="001052B9" w:rsidRDefault="00357C36">
            <w:pPr>
              <w:jc w:val="left"/>
            </w:pPr>
            <w:r>
              <w:t>Structural Steel Construction</w:t>
            </w:r>
          </w:p>
        </w:tc>
        <w:tc>
          <w:tcPr>
            <w:tcW w:w="1198" w:type="dxa"/>
            <w:vAlign w:val="center"/>
          </w:tcPr>
          <w:p w14:paraId="7B2733AB" w14:textId="77777777" w:rsidR="001052B9" w:rsidRDefault="00357C36">
            <w:pPr>
              <w:jc w:val="center"/>
              <w:rPr>
                <w:color w:val="0000FF"/>
              </w:rPr>
            </w:pPr>
            <w:r>
              <w:rPr>
                <w:color w:val="0000FF"/>
              </w:rPr>
              <w:t>712</w:t>
            </w:r>
          </w:p>
        </w:tc>
      </w:tr>
      <w:tr w:rsidR="001052B9" w14:paraId="48D5D0E7" w14:textId="77777777">
        <w:trPr>
          <w:cantSplit/>
          <w:trHeight w:val="288"/>
          <w:jc w:val="center"/>
        </w:trPr>
        <w:tc>
          <w:tcPr>
            <w:tcW w:w="4591" w:type="dxa"/>
            <w:vAlign w:val="center"/>
          </w:tcPr>
          <w:p w14:paraId="6204DBB2" w14:textId="77777777" w:rsidR="001052B9" w:rsidRDefault="00357C36">
            <w:pPr>
              <w:jc w:val="left"/>
            </w:pPr>
            <w:r>
              <w:t>Gray Epoxy-Mastic Primer (non-aluminum)</w:t>
            </w:r>
          </w:p>
        </w:tc>
        <w:tc>
          <w:tcPr>
            <w:tcW w:w="1198" w:type="dxa"/>
            <w:vAlign w:val="center"/>
          </w:tcPr>
          <w:p w14:paraId="6F6D229D" w14:textId="77777777" w:rsidR="001052B9" w:rsidRDefault="00357C36">
            <w:pPr>
              <w:jc w:val="center"/>
              <w:rPr>
                <w:color w:val="0000FF"/>
              </w:rPr>
            </w:pPr>
            <w:r>
              <w:rPr>
                <w:color w:val="0000FF"/>
              </w:rPr>
              <w:t>1045</w:t>
            </w:r>
          </w:p>
        </w:tc>
      </w:tr>
      <w:tr w:rsidR="001052B9" w14:paraId="7AE3677A" w14:textId="77777777">
        <w:trPr>
          <w:cantSplit/>
          <w:trHeight w:val="288"/>
          <w:jc w:val="center"/>
        </w:trPr>
        <w:tc>
          <w:tcPr>
            <w:tcW w:w="4591" w:type="dxa"/>
            <w:vAlign w:val="center"/>
          </w:tcPr>
          <w:p w14:paraId="4DBC0F19" w14:textId="77777777" w:rsidR="001052B9" w:rsidRDefault="00357C36">
            <w:pPr>
              <w:jc w:val="left"/>
            </w:pPr>
            <w:r>
              <w:t>Structural Steel Fabrication</w:t>
            </w:r>
          </w:p>
        </w:tc>
        <w:tc>
          <w:tcPr>
            <w:tcW w:w="1198" w:type="dxa"/>
            <w:vAlign w:val="center"/>
          </w:tcPr>
          <w:p w14:paraId="429C227A" w14:textId="77777777" w:rsidR="001052B9" w:rsidRDefault="00357C36">
            <w:pPr>
              <w:jc w:val="center"/>
              <w:rPr>
                <w:color w:val="0000FF"/>
              </w:rPr>
            </w:pPr>
            <w:r>
              <w:rPr>
                <w:color w:val="0000FF"/>
              </w:rPr>
              <w:t>1080</w:t>
            </w:r>
          </w:p>
        </w:tc>
      </w:tr>
      <w:tr w:rsidR="001052B9" w14:paraId="2928F82E" w14:textId="77777777">
        <w:trPr>
          <w:cantSplit/>
          <w:trHeight w:val="288"/>
          <w:jc w:val="center"/>
        </w:trPr>
        <w:tc>
          <w:tcPr>
            <w:tcW w:w="4591" w:type="dxa"/>
            <w:vAlign w:val="center"/>
          </w:tcPr>
          <w:p w14:paraId="0105A644" w14:textId="77777777" w:rsidR="001052B9" w:rsidRDefault="00357C36">
            <w:pPr>
              <w:jc w:val="left"/>
            </w:pPr>
            <w:r>
              <w:t>Coating of Structural Steel</w:t>
            </w:r>
          </w:p>
        </w:tc>
        <w:tc>
          <w:tcPr>
            <w:tcW w:w="1198" w:type="dxa"/>
            <w:vAlign w:val="center"/>
          </w:tcPr>
          <w:p w14:paraId="50C82464" w14:textId="77777777" w:rsidR="001052B9" w:rsidRDefault="00357C36">
            <w:pPr>
              <w:jc w:val="center"/>
              <w:rPr>
                <w:color w:val="0000FF"/>
              </w:rPr>
            </w:pPr>
            <w:r>
              <w:rPr>
                <w:color w:val="0000FF"/>
              </w:rPr>
              <w:t>1081</w:t>
            </w:r>
          </w:p>
        </w:tc>
      </w:tr>
    </w:tbl>
    <w:p w14:paraId="23C5D893" w14:textId="77777777" w:rsidR="001052B9" w:rsidRDefault="001052B9">
      <w:pPr>
        <w:rPr>
          <w:b/>
          <w:bCs/>
        </w:rPr>
      </w:pPr>
    </w:p>
    <w:p w14:paraId="78124D66" w14:textId="77777777" w:rsidR="001052B9" w:rsidRDefault="00357C36">
      <w:pPr>
        <w:rPr>
          <w:b/>
          <w:bCs/>
        </w:rPr>
      </w:pPr>
      <w:r>
        <w:rPr>
          <w:b/>
          <w:bCs/>
        </w:rPr>
        <w:t>3.0  Construction Requirements.</w:t>
      </w:r>
    </w:p>
    <w:p w14:paraId="713045A0" w14:textId="77777777" w:rsidR="001052B9" w:rsidRDefault="001052B9">
      <w:pPr>
        <w:rPr>
          <w:rFonts w:cs="Arial"/>
        </w:rPr>
      </w:pPr>
    </w:p>
    <w:p w14:paraId="63EC09D4" w14:textId="77777777" w:rsidR="001052B9" w:rsidRDefault="00357C36">
      <w:pPr>
        <w:rPr>
          <w:rFonts w:cs="Arial"/>
        </w:rPr>
      </w:pPr>
      <w:r>
        <w:rPr>
          <w:rFonts w:cs="Arial"/>
          <w:b/>
          <w:bCs/>
        </w:rPr>
        <w:t xml:space="preserve">3.1  </w:t>
      </w:r>
      <w:r>
        <w:rPr>
          <w:rFonts w:cs="Arial"/>
        </w:rPr>
        <w:t>Before fabrication of new metalwork, the contractor shall make the necessary measurements in the field to verify dimensions of the existing structure where new members are affected.  Any deviation of the dimensions shown on the plans shall be called to the engineer's attention.  The contractor shall be responsible for developing all required dimensional adjustments and coordinating the implementation of the dimensional adjustments with all involved fabricators and subcontractors.  Prior to erection of the new structural steel, the steel that is to remain shall be carefully inspected for irregularities.  If such irregularities are found, the irregularities shall be brought to the attention of the engineer.</w:t>
      </w:r>
    </w:p>
    <w:p w14:paraId="7141E9D9" w14:textId="77777777" w:rsidR="001052B9" w:rsidRDefault="001052B9">
      <w:pPr>
        <w:rPr>
          <w:rFonts w:cs="Arial"/>
        </w:rPr>
      </w:pPr>
    </w:p>
    <w:p w14:paraId="08B50FE3" w14:textId="77777777" w:rsidR="001052B9" w:rsidRDefault="00357C36">
      <w:r>
        <w:rPr>
          <w:b/>
          <w:bCs/>
        </w:rPr>
        <w:t xml:space="preserve">3.2  </w:t>
      </w:r>
      <w:r>
        <w:t xml:space="preserve">The new flange connection </w:t>
      </w:r>
      <w:r w:rsidR="00C46D3E">
        <w:t xml:space="preserve">bent </w:t>
      </w:r>
      <w:r>
        <w:t xml:space="preserve">plates used to connect existing flange to diaphragm shall be coated with the prime coat and intermediate coat for System G in accordance with </w:t>
      </w:r>
      <w:r>
        <w:rPr>
          <w:color w:val="0000FF"/>
        </w:rPr>
        <w:t>Sec 1081</w:t>
      </w:r>
      <w:r>
        <w:t>.</w:t>
      </w:r>
    </w:p>
    <w:p w14:paraId="252F3A3A" w14:textId="77777777" w:rsidR="001052B9" w:rsidRDefault="001052B9"/>
    <w:p w14:paraId="1FD996D8" w14:textId="77777777" w:rsidR="00C46D3E" w:rsidRDefault="00357C36">
      <w:r>
        <w:rPr>
          <w:b/>
          <w:bCs/>
        </w:rPr>
        <w:t xml:space="preserve">3.3  </w:t>
      </w:r>
      <w:r>
        <w:t xml:space="preserve">Connection of the new flange connection bent plates to the existing </w:t>
      </w:r>
      <w:r w:rsidR="00D57A3E">
        <w:t>f</w:t>
      </w:r>
      <w:r>
        <w:t xml:space="preserve">lange and diaphragm connection plates shall be made by using high strength bolts as shown on the plans.  The high strength bolts shall be the diameter as shown on the plans.  If field coating is not required on existing structural steel, </w:t>
      </w:r>
      <w:r w:rsidR="00C46D3E">
        <w:t xml:space="preserve">then </w:t>
      </w:r>
      <w:r>
        <w:t xml:space="preserve">all bolts, nuts and washers used for connections to existing steel shall be galvanized.  High strength bolt installation shall be in accordance with </w:t>
      </w:r>
      <w:r>
        <w:rPr>
          <w:color w:val="0000FF"/>
        </w:rPr>
        <w:t>Sec 712</w:t>
      </w:r>
      <w:r>
        <w:t xml:space="preserve">.  </w:t>
      </w:r>
    </w:p>
    <w:p w14:paraId="797C92CA" w14:textId="77777777" w:rsidR="00F17B13" w:rsidRDefault="00F17B13"/>
    <w:p w14:paraId="3B1843AC" w14:textId="77777777" w:rsidR="001052B9" w:rsidRDefault="00357C36">
      <w:pPr>
        <w:rPr>
          <w:rFonts w:cs="Arial"/>
        </w:rPr>
      </w:pPr>
      <w:r>
        <w:rPr>
          <w:rFonts w:cs="Arial"/>
          <w:b/>
          <w:bCs/>
        </w:rPr>
        <w:t xml:space="preserve">3.4  </w:t>
      </w:r>
      <w:r>
        <w:t xml:space="preserve">Holes in the new flange connection bent plates for connecting </w:t>
      </w:r>
      <w:r w:rsidR="00D57A3E">
        <w:t>existing diaphragm to the</w:t>
      </w:r>
      <w:r>
        <w:t xml:space="preserve"> flange may be used as</w:t>
      </w:r>
      <w:r w:rsidR="008B3072">
        <w:t xml:space="preserve"> a</w:t>
      </w:r>
      <w:r>
        <w:t xml:space="preserve"> template for drilling the holes in the existing material.  </w:t>
      </w:r>
      <w:r>
        <w:rPr>
          <w:rFonts w:cs="Arial"/>
        </w:rPr>
        <w:t>A minimum edge distance shall be maintained for all field drilled holes.  The minimum edge distance for bolts shall be as shown in table below measured from the centerline of holes.</w:t>
      </w:r>
    </w:p>
    <w:p w14:paraId="2CE8F3BA" w14:textId="77777777" w:rsidR="001052B9" w:rsidRDefault="001052B9">
      <w:pPr>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2892"/>
      </w:tblGrid>
      <w:tr w:rsidR="001052B9" w14:paraId="570CDE90" w14:textId="77777777">
        <w:trPr>
          <w:cantSplit/>
          <w:tblHeader/>
          <w:jc w:val="center"/>
        </w:trPr>
        <w:tc>
          <w:tcPr>
            <w:tcW w:w="1710" w:type="dxa"/>
            <w:vAlign w:val="center"/>
          </w:tcPr>
          <w:p w14:paraId="7FDB0307" w14:textId="77777777" w:rsidR="001052B9" w:rsidRDefault="00357C36">
            <w:pPr>
              <w:jc w:val="center"/>
              <w:rPr>
                <w:rFonts w:cs="Arial"/>
                <w:b/>
                <w:bCs/>
              </w:rPr>
            </w:pPr>
            <w:r>
              <w:rPr>
                <w:rFonts w:cs="Arial"/>
                <w:b/>
                <w:bCs/>
              </w:rPr>
              <w:t>Bolt Diameter</w:t>
            </w:r>
          </w:p>
        </w:tc>
        <w:tc>
          <w:tcPr>
            <w:tcW w:w="2892" w:type="dxa"/>
          </w:tcPr>
          <w:p w14:paraId="1010294B" w14:textId="77777777" w:rsidR="001052B9" w:rsidRDefault="00357C36">
            <w:pPr>
              <w:jc w:val="center"/>
              <w:rPr>
                <w:rFonts w:cs="Arial"/>
                <w:b/>
                <w:bCs/>
              </w:rPr>
            </w:pPr>
            <w:r>
              <w:rPr>
                <w:rFonts w:cs="Arial"/>
                <w:b/>
                <w:bCs/>
              </w:rPr>
              <w:t>Minimum Edge Distance</w:t>
            </w:r>
          </w:p>
        </w:tc>
      </w:tr>
      <w:tr w:rsidR="001052B9" w14:paraId="690DE823" w14:textId="77777777">
        <w:trPr>
          <w:tblHeader/>
          <w:jc w:val="center"/>
        </w:trPr>
        <w:tc>
          <w:tcPr>
            <w:tcW w:w="1710" w:type="dxa"/>
          </w:tcPr>
          <w:p w14:paraId="23C31C9F" w14:textId="77777777" w:rsidR="001052B9" w:rsidRDefault="00357C36">
            <w:pPr>
              <w:jc w:val="center"/>
              <w:rPr>
                <w:rFonts w:cs="Arial"/>
                <w:b/>
                <w:bCs/>
              </w:rPr>
            </w:pPr>
            <w:r>
              <w:rPr>
                <w:rFonts w:cs="Arial"/>
                <w:b/>
                <w:bCs/>
              </w:rPr>
              <w:t>inch (mm)</w:t>
            </w:r>
          </w:p>
        </w:tc>
        <w:tc>
          <w:tcPr>
            <w:tcW w:w="2892" w:type="dxa"/>
          </w:tcPr>
          <w:p w14:paraId="0F2DBF3B" w14:textId="77777777" w:rsidR="001052B9" w:rsidRDefault="00357C36">
            <w:pPr>
              <w:jc w:val="center"/>
              <w:rPr>
                <w:rFonts w:cs="Arial"/>
                <w:b/>
                <w:bCs/>
              </w:rPr>
            </w:pPr>
            <w:r>
              <w:rPr>
                <w:rFonts w:cs="Arial"/>
                <w:b/>
                <w:bCs/>
              </w:rPr>
              <w:t>inch (mm)</w:t>
            </w:r>
          </w:p>
        </w:tc>
      </w:tr>
      <w:tr w:rsidR="001052B9" w14:paraId="4A67C98A" w14:textId="77777777">
        <w:trPr>
          <w:jc w:val="center"/>
        </w:trPr>
        <w:tc>
          <w:tcPr>
            <w:tcW w:w="1710" w:type="dxa"/>
          </w:tcPr>
          <w:p w14:paraId="558F7F46" w14:textId="77777777" w:rsidR="001052B9" w:rsidRDefault="00357C36">
            <w:pPr>
              <w:jc w:val="center"/>
              <w:rPr>
                <w:rFonts w:cs="Arial"/>
              </w:rPr>
            </w:pPr>
            <w:r>
              <w:rPr>
                <w:rFonts w:cs="Arial"/>
              </w:rPr>
              <w:t>3/4 (19.0)</w:t>
            </w:r>
          </w:p>
        </w:tc>
        <w:tc>
          <w:tcPr>
            <w:tcW w:w="2892" w:type="dxa"/>
          </w:tcPr>
          <w:p w14:paraId="7D12843B" w14:textId="59F5BEC1" w:rsidR="001052B9" w:rsidRDefault="00357C36">
            <w:pPr>
              <w:jc w:val="center"/>
              <w:rPr>
                <w:rFonts w:cs="Arial"/>
              </w:rPr>
            </w:pPr>
            <w:r>
              <w:rPr>
                <w:rFonts w:cs="Arial"/>
              </w:rPr>
              <w:t>1</w:t>
            </w:r>
            <w:r w:rsidR="004400D7">
              <w:rPr>
                <w:rFonts w:cs="Arial"/>
              </w:rPr>
              <w:t xml:space="preserve"> </w:t>
            </w:r>
            <w:r>
              <w:rPr>
                <w:rFonts w:cs="Arial"/>
              </w:rPr>
              <w:t>1/4 (32)</w:t>
            </w:r>
          </w:p>
        </w:tc>
      </w:tr>
      <w:tr w:rsidR="001052B9" w14:paraId="6E9231FF" w14:textId="77777777">
        <w:trPr>
          <w:jc w:val="center"/>
        </w:trPr>
        <w:tc>
          <w:tcPr>
            <w:tcW w:w="1710" w:type="dxa"/>
          </w:tcPr>
          <w:p w14:paraId="0AAB8196" w14:textId="77777777" w:rsidR="001052B9" w:rsidRDefault="00357C36">
            <w:pPr>
              <w:jc w:val="center"/>
              <w:rPr>
                <w:rFonts w:cs="Arial"/>
              </w:rPr>
            </w:pPr>
            <w:r>
              <w:rPr>
                <w:rFonts w:cs="Arial"/>
              </w:rPr>
              <w:t>7/8 (22.2)</w:t>
            </w:r>
          </w:p>
        </w:tc>
        <w:tc>
          <w:tcPr>
            <w:tcW w:w="2892" w:type="dxa"/>
          </w:tcPr>
          <w:p w14:paraId="709711C9" w14:textId="7F63AF55" w:rsidR="001052B9" w:rsidRDefault="00357C36">
            <w:pPr>
              <w:jc w:val="center"/>
              <w:rPr>
                <w:rFonts w:cs="Arial"/>
              </w:rPr>
            </w:pPr>
            <w:r>
              <w:rPr>
                <w:rFonts w:cs="Arial"/>
              </w:rPr>
              <w:t>1</w:t>
            </w:r>
            <w:r w:rsidR="004400D7">
              <w:rPr>
                <w:rFonts w:cs="Arial"/>
              </w:rPr>
              <w:t xml:space="preserve"> </w:t>
            </w:r>
            <w:r>
              <w:rPr>
                <w:rFonts w:cs="Arial"/>
              </w:rPr>
              <w:t>1/2 (38)</w:t>
            </w:r>
          </w:p>
        </w:tc>
      </w:tr>
      <w:tr w:rsidR="001052B9" w14:paraId="3583E395" w14:textId="77777777">
        <w:trPr>
          <w:jc w:val="center"/>
        </w:trPr>
        <w:tc>
          <w:tcPr>
            <w:tcW w:w="1710" w:type="dxa"/>
          </w:tcPr>
          <w:p w14:paraId="7994E5B7" w14:textId="77777777" w:rsidR="001052B9" w:rsidRDefault="00357C36">
            <w:pPr>
              <w:jc w:val="center"/>
              <w:rPr>
                <w:rFonts w:cs="Arial"/>
              </w:rPr>
            </w:pPr>
            <w:r>
              <w:rPr>
                <w:rFonts w:cs="Arial"/>
              </w:rPr>
              <w:lastRenderedPageBreak/>
              <w:t>1 (25.4)</w:t>
            </w:r>
          </w:p>
        </w:tc>
        <w:tc>
          <w:tcPr>
            <w:tcW w:w="2892" w:type="dxa"/>
          </w:tcPr>
          <w:p w14:paraId="603D94D7" w14:textId="07DA7523" w:rsidR="001052B9" w:rsidRDefault="00357C36">
            <w:pPr>
              <w:jc w:val="center"/>
              <w:rPr>
                <w:rFonts w:cs="Arial"/>
              </w:rPr>
            </w:pPr>
            <w:r>
              <w:rPr>
                <w:rFonts w:cs="Arial"/>
              </w:rPr>
              <w:t>1</w:t>
            </w:r>
            <w:r w:rsidR="004400D7">
              <w:rPr>
                <w:rFonts w:cs="Arial"/>
              </w:rPr>
              <w:t xml:space="preserve"> </w:t>
            </w:r>
            <w:r>
              <w:rPr>
                <w:rFonts w:cs="Arial"/>
              </w:rPr>
              <w:t>3/4 (45)</w:t>
            </w:r>
          </w:p>
        </w:tc>
      </w:tr>
    </w:tbl>
    <w:p w14:paraId="1FBE9F0D" w14:textId="77777777" w:rsidR="001052B9" w:rsidRDefault="001052B9">
      <w:pPr>
        <w:rPr>
          <w:rFonts w:cs="Arial"/>
        </w:rPr>
      </w:pPr>
    </w:p>
    <w:p w14:paraId="6EE879FB" w14:textId="0A477FA4" w:rsidR="001052B9" w:rsidRDefault="00357C36">
      <w:pPr>
        <w:rPr>
          <w:rFonts w:cs="Arial"/>
        </w:rPr>
      </w:pPr>
      <w:r>
        <w:rPr>
          <w:rFonts w:cs="Arial"/>
          <w:b/>
        </w:rPr>
        <w:t xml:space="preserve">3.5  </w:t>
      </w:r>
      <w:r>
        <w:rPr>
          <w:rFonts w:cs="Arial"/>
          <w:bCs/>
        </w:rPr>
        <w:t xml:space="preserve">The surfaces of existing steel that will become faying surfaces for new connections shall be cleaned </w:t>
      </w:r>
      <w:r w:rsidR="008B3072">
        <w:rPr>
          <w:rFonts w:cs="Arial"/>
          <w:bCs/>
        </w:rPr>
        <w:t xml:space="preserve">in </w:t>
      </w:r>
      <w:r>
        <w:rPr>
          <w:rFonts w:cs="Arial"/>
          <w:bCs/>
        </w:rPr>
        <w:t>accord</w:t>
      </w:r>
      <w:r w:rsidR="008B3072">
        <w:rPr>
          <w:rFonts w:cs="Arial"/>
          <w:bCs/>
        </w:rPr>
        <w:t>ance with</w:t>
      </w:r>
      <w:r>
        <w:rPr>
          <w:rFonts w:cs="Arial"/>
          <w:bCs/>
        </w:rPr>
        <w:t xml:space="preserve"> the manufacturer's recommendation and with a minimum of SSPC-SP3 surface preparation and coated with one prime coat of </w:t>
      </w:r>
      <w:r w:rsidR="004400D7">
        <w:rPr>
          <w:rFonts w:cs="Arial"/>
          <w:bCs/>
        </w:rPr>
        <w:t>g</w:t>
      </w:r>
      <w:r>
        <w:rPr>
          <w:rFonts w:cs="Arial"/>
          <w:bCs/>
        </w:rPr>
        <w:t xml:space="preserve">ray </w:t>
      </w:r>
      <w:r w:rsidR="004400D7">
        <w:rPr>
          <w:rFonts w:cs="Arial"/>
          <w:bCs/>
        </w:rPr>
        <w:t>e</w:t>
      </w:r>
      <w:r>
        <w:rPr>
          <w:rFonts w:cs="Arial"/>
          <w:bCs/>
        </w:rPr>
        <w:t>poxy-</w:t>
      </w:r>
      <w:r w:rsidR="004400D7">
        <w:rPr>
          <w:rFonts w:cs="Arial"/>
          <w:bCs/>
        </w:rPr>
        <w:t>m</w:t>
      </w:r>
      <w:r>
        <w:rPr>
          <w:rFonts w:cs="Arial"/>
          <w:bCs/>
        </w:rPr>
        <w:t xml:space="preserve">astic </w:t>
      </w:r>
      <w:r w:rsidR="004400D7">
        <w:rPr>
          <w:rFonts w:cs="Arial"/>
          <w:bCs/>
        </w:rPr>
        <w:t>p</w:t>
      </w:r>
      <w:r>
        <w:rPr>
          <w:rFonts w:cs="Arial"/>
          <w:bCs/>
        </w:rPr>
        <w:t xml:space="preserve">rimer (non-aluminum) in accordance with </w:t>
      </w:r>
      <w:r>
        <w:rPr>
          <w:rFonts w:cs="Arial"/>
          <w:bCs/>
          <w:color w:val="0000FF"/>
        </w:rPr>
        <w:t>Sec 1081</w:t>
      </w:r>
      <w:r>
        <w:rPr>
          <w:rFonts w:cs="Arial"/>
          <w:bCs/>
        </w:rPr>
        <w:t>.</w:t>
      </w:r>
    </w:p>
    <w:p w14:paraId="679C7E3A" w14:textId="77777777" w:rsidR="001052B9" w:rsidRDefault="001052B9">
      <w:pPr>
        <w:rPr>
          <w:rFonts w:cs="Arial"/>
        </w:rPr>
      </w:pPr>
    </w:p>
    <w:p w14:paraId="79A37492" w14:textId="6671EAD0" w:rsidR="001052B9" w:rsidRDefault="00357C36">
      <w:pPr>
        <w:rPr>
          <w:rFonts w:cs="Arial"/>
          <w:bCs/>
        </w:rPr>
      </w:pPr>
      <w:r>
        <w:rPr>
          <w:rFonts w:cs="Arial"/>
          <w:b/>
        </w:rPr>
        <w:t xml:space="preserve">3.6  </w:t>
      </w:r>
      <w:r>
        <w:rPr>
          <w:rFonts w:cs="Arial"/>
          <w:bCs/>
        </w:rPr>
        <w:t xml:space="preserve">Exposed girder areas that are not faying surfaces or not covered by concrete </w:t>
      </w:r>
      <w:r w:rsidR="008B3072">
        <w:rPr>
          <w:rFonts w:cs="Arial"/>
          <w:bCs/>
        </w:rPr>
        <w:t>and</w:t>
      </w:r>
      <w:r>
        <w:rPr>
          <w:rFonts w:cs="Arial"/>
          <w:bCs/>
        </w:rPr>
        <w:t xml:space="preserve"> are scratched</w:t>
      </w:r>
      <w:r w:rsidR="008B3072">
        <w:rPr>
          <w:rFonts w:cs="Arial"/>
          <w:bCs/>
        </w:rPr>
        <w:t xml:space="preserve"> or</w:t>
      </w:r>
      <w:r>
        <w:rPr>
          <w:rFonts w:cs="Arial"/>
          <w:bCs/>
        </w:rPr>
        <w:t xml:space="preserve"> damaged by the contractor or by field welding operations shall be touched up with </w:t>
      </w:r>
      <w:r w:rsidR="004400D7">
        <w:rPr>
          <w:rFonts w:cs="Arial"/>
          <w:bCs/>
        </w:rPr>
        <w:t>g</w:t>
      </w:r>
      <w:r>
        <w:rPr>
          <w:rFonts w:cs="Arial"/>
          <w:bCs/>
        </w:rPr>
        <w:t xml:space="preserve">ray </w:t>
      </w:r>
      <w:r w:rsidR="004400D7">
        <w:rPr>
          <w:rFonts w:cs="Arial"/>
          <w:bCs/>
        </w:rPr>
        <w:t>e</w:t>
      </w:r>
      <w:r>
        <w:rPr>
          <w:rFonts w:cs="Arial"/>
          <w:bCs/>
        </w:rPr>
        <w:t>poxy-</w:t>
      </w:r>
      <w:r w:rsidR="004400D7">
        <w:rPr>
          <w:rFonts w:cs="Arial"/>
          <w:bCs/>
        </w:rPr>
        <w:t>m</w:t>
      </w:r>
      <w:r>
        <w:rPr>
          <w:rFonts w:cs="Arial"/>
          <w:bCs/>
        </w:rPr>
        <w:t xml:space="preserve">astic </w:t>
      </w:r>
      <w:r w:rsidR="004400D7">
        <w:rPr>
          <w:rFonts w:cs="Arial"/>
          <w:bCs/>
        </w:rPr>
        <w:t>p</w:t>
      </w:r>
      <w:r>
        <w:rPr>
          <w:rFonts w:cs="Arial"/>
          <w:bCs/>
        </w:rPr>
        <w:t xml:space="preserve">rimer (non-aluminum) in accordance with </w:t>
      </w:r>
      <w:r>
        <w:rPr>
          <w:rFonts w:cs="Arial"/>
          <w:bCs/>
          <w:color w:val="0000FF"/>
        </w:rPr>
        <w:t>Sec 1081</w:t>
      </w:r>
      <w:r>
        <w:rPr>
          <w:rFonts w:cs="Arial"/>
          <w:bCs/>
        </w:rPr>
        <w:t>.</w:t>
      </w:r>
    </w:p>
    <w:p w14:paraId="0EBC0EC3" w14:textId="77777777" w:rsidR="001052B9" w:rsidRDefault="001052B9">
      <w:pPr>
        <w:rPr>
          <w:rFonts w:cs="Arial"/>
          <w:bCs/>
        </w:rPr>
      </w:pPr>
    </w:p>
    <w:p w14:paraId="5F8EFCEB" w14:textId="77777777" w:rsidR="001052B9" w:rsidRDefault="00357C36">
      <w:r>
        <w:rPr>
          <w:b/>
          <w:bCs/>
        </w:rPr>
        <w:t xml:space="preserve">3.7  </w:t>
      </w:r>
      <w:r>
        <w:t xml:space="preserve">Any damage </w:t>
      </w:r>
      <w:r w:rsidR="008B3072">
        <w:t xml:space="preserve">sustained </w:t>
      </w:r>
      <w:r>
        <w:t xml:space="preserve">to the existing structure </w:t>
      </w:r>
      <w:r w:rsidR="008B3072">
        <w:t xml:space="preserve">as a result of the </w:t>
      </w:r>
      <w:r>
        <w:t>contractor’s operations shall be repaired or replaced at the contractor’s expense and to the satisfaction of the engineer.</w:t>
      </w:r>
    </w:p>
    <w:p w14:paraId="0B89B86A" w14:textId="77777777" w:rsidR="001052B9" w:rsidRDefault="001052B9">
      <w:pPr>
        <w:rPr>
          <w:b/>
          <w:bCs/>
        </w:rPr>
      </w:pPr>
    </w:p>
    <w:p w14:paraId="3D746358" w14:textId="77777777" w:rsidR="001052B9" w:rsidRDefault="00357C36">
      <w:r>
        <w:rPr>
          <w:b/>
          <w:bCs/>
        </w:rPr>
        <w:t xml:space="preserve">4.0  Method of Measurement.  </w:t>
      </w:r>
      <w:r>
        <w:t>No measurement will be made.</w:t>
      </w:r>
    </w:p>
    <w:p w14:paraId="35140095" w14:textId="77777777" w:rsidR="001052B9" w:rsidRDefault="001052B9"/>
    <w:p w14:paraId="5B673742" w14:textId="4D28FA0F" w:rsidR="001052B9" w:rsidRDefault="00357C36">
      <w:pPr>
        <w:rPr>
          <w:rFonts w:cs="Arial"/>
        </w:rPr>
      </w:pPr>
      <w:r>
        <w:rPr>
          <w:b/>
          <w:bCs/>
        </w:rPr>
        <w:t xml:space="preserve">5.0  Basis of Payment.  </w:t>
      </w:r>
      <w:r>
        <w:t>Payment for the above described work, including all material, equipment, labor and any other incidental work necessary to complete this item, will be considered completely covered by the contract lump sum price for Existing Diaphragm Connection to Flange.</w:t>
      </w:r>
    </w:p>
    <w:sectPr w:rsidR="001052B9" w:rsidSect="00935371">
      <w:footerReference w:type="default" r:id="rId6"/>
      <w:headerReference w:type="first" r:id="rId7"/>
      <w:footerReference w:type="first" r:id="rId8"/>
      <w:type w:val="continuous"/>
      <w:pgSz w:w="12240" w:h="15840" w:code="1"/>
      <w:pgMar w:top="1440" w:right="1440" w:bottom="72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C0C00" w14:textId="77777777" w:rsidR="001052B9" w:rsidRDefault="00357C36">
      <w:r>
        <w:separator/>
      </w:r>
    </w:p>
  </w:endnote>
  <w:endnote w:type="continuationSeparator" w:id="0">
    <w:p w14:paraId="4033FCF5" w14:textId="77777777" w:rsidR="001052B9" w:rsidRDefault="0035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B221" w14:textId="77777777" w:rsidR="00302759" w:rsidRDefault="00D57A3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8DAE2" w14:textId="77777777" w:rsidR="00302759" w:rsidRDefault="00D57A3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FC4BB" w14:textId="77777777" w:rsidR="001052B9" w:rsidRDefault="00357C36">
      <w:r>
        <w:separator/>
      </w:r>
    </w:p>
  </w:footnote>
  <w:footnote w:type="continuationSeparator" w:id="0">
    <w:p w14:paraId="5779BA96" w14:textId="77777777" w:rsidR="001052B9" w:rsidRDefault="0035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D4959" w14:textId="77777777" w:rsidR="00302759" w:rsidRDefault="00D57A3E">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7C36"/>
    <w:rsid w:val="001052B9"/>
    <w:rsid w:val="00302759"/>
    <w:rsid w:val="00357C36"/>
    <w:rsid w:val="004400D7"/>
    <w:rsid w:val="00501E26"/>
    <w:rsid w:val="008B3072"/>
    <w:rsid w:val="00935371"/>
    <w:rsid w:val="00A7221C"/>
    <w:rsid w:val="00C46D3E"/>
    <w:rsid w:val="00D57A3E"/>
    <w:rsid w:val="00E83783"/>
    <w:rsid w:val="00F1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AE153"/>
  <w15:docId w15:val="{E98F4559-B906-4498-9812-6AE87725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052B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TopofForm">
    <w:name w:val="HTML Top of Form"/>
    <w:basedOn w:val="Normal"/>
    <w:rsid w:val="001052B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BottomofForm">
    <w:name w:val="HTML Bottom of Form"/>
    <w:basedOn w:val="Normal"/>
    <w:rsid w:val="001052B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88"/>
    </w:pPr>
    <w:rPr>
      <w:rFonts w:ascii="Times New Roman" w:hAnsi="Times New Roman"/>
      <w:sz w:val="24"/>
    </w:rPr>
  </w:style>
  <w:style w:type="paragraph" w:styleId="NormalWeb">
    <w:name w:val="Normal (Web)"/>
    <w:basedOn w:val="Normal"/>
    <w:semiHidden/>
    <w:rsid w:val="001052B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76"/>
    </w:pPr>
    <w:rPr>
      <w:rFonts w:ascii="Times New Roman" w:hAnsi="Times New Roman"/>
      <w:sz w:val="24"/>
    </w:rPr>
  </w:style>
  <w:style w:type="paragraph" w:customStyle="1" w:styleId="HTMLAcronym1">
    <w:name w:val="HTML Acronym1"/>
    <w:basedOn w:val="Normal"/>
    <w:semiHidden/>
    <w:rsid w:val="001052B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pPr>
    <w:rPr>
      <w:rFonts w:ascii="Times New Roman" w:hAnsi="Times New Roman"/>
      <w:sz w:val="24"/>
    </w:rPr>
  </w:style>
  <w:style w:type="paragraph" w:styleId="HTMLAddress">
    <w:name w:val="HTML Address"/>
    <w:basedOn w:val="Normal"/>
    <w:semiHidden/>
    <w:rsid w:val="001052B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rFonts w:ascii="Times New Roman" w:hAnsi="Times New Roman"/>
      <w:b/>
      <w:i/>
      <w:sz w:val="24"/>
    </w:rPr>
  </w:style>
  <w:style w:type="paragraph" w:styleId="Title">
    <w:name w:val="Title"/>
    <w:basedOn w:val="Normal"/>
    <w:qFormat/>
    <w:rsid w:val="001052B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b/>
      <w:sz w:val="36"/>
    </w:rPr>
  </w:style>
  <w:style w:type="paragraph" w:styleId="Header">
    <w:name w:val="header"/>
    <w:basedOn w:val="Normal"/>
    <w:semiHidden/>
    <w:rsid w:val="001052B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Footer">
    <w:name w:val="footer"/>
    <w:basedOn w:val="Normal"/>
    <w:semiHidden/>
    <w:rsid w:val="001052B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customStyle="1" w:styleId="HTMLCite1">
    <w:name w:val="HTML Cite1"/>
    <w:basedOn w:val="Normal"/>
    <w:semiHidden/>
    <w:rsid w:val="001052B9"/>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customStyle="1" w:styleId="HTMLCode1">
    <w:name w:val="HTML Code1"/>
    <w:basedOn w:val="Normal"/>
    <w:semiHidden/>
    <w:rsid w:val="001052B9"/>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Reviewers:  For widening steel bridges</vt:lpstr>
    </vt:vector>
  </TitlesOfParts>
  <Company>MoDOT</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Reviewers:  For widening steel bridges</dc:title>
  <cp:lastModifiedBy>Daniel M. Smith</cp:lastModifiedBy>
  <cp:revision>9</cp:revision>
  <cp:lastPrinted>2004-08-19T15:37:00Z</cp:lastPrinted>
  <dcterms:created xsi:type="dcterms:W3CDTF">2010-03-10T17:51:00Z</dcterms:created>
  <dcterms:modified xsi:type="dcterms:W3CDTF">2021-04-07T14:51:00Z</dcterms:modified>
</cp:coreProperties>
</file>