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E5EA8" w14:textId="77777777" w:rsidR="00BF104C" w:rsidRDefault="002B128A">
      <w:pPr>
        <w:rPr>
          <w:rFonts w:cs="Arial"/>
          <w:b/>
          <w:bCs/>
        </w:rPr>
      </w:pPr>
      <w:r>
        <w:rPr>
          <w:rFonts w:cs="Arial"/>
          <w:b/>
          <w:bCs/>
        </w:rPr>
        <w:t>Reviewers:  For widening steel bridges.</w:t>
      </w:r>
    </w:p>
    <w:p w14:paraId="02C24813" w14:textId="77777777" w:rsidR="00BF104C" w:rsidRDefault="00BF104C">
      <w:pPr>
        <w:rPr>
          <w:rFonts w:cs="Arial"/>
        </w:rPr>
      </w:pPr>
    </w:p>
    <w:p w14:paraId="7253C0BD" w14:textId="1FE622E2" w:rsidR="00BF104C" w:rsidRDefault="002B128A">
      <w:pPr>
        <w:rPr>
          <w:rFonts w:cs="Arial"/>
        </w:rPr>
      </w:pPr>
      <w:r>
        <w:rPr>
          <w:rFonts w:cs="Arial"/>
        </w:rPr>
        <w:tab/>
      </w:r>
      <w:r>
        <w:rPr>
          <w:rFonts w:cs="Arial"/>
          <w:u w:val="single"/>
        </w:rPr>
        <w:t>STRUCTURAL STEEL REQUIREMENTS</w:t>
      </w:r>
      <w:r>
        <w:rPr>
          <w:rFonts w:cs="Arial"/>
        </w:rPr>
        <w:tab/>
      </w:r>
      <w:r>
        <w:rPr>
          <w:rFonts w:cs="Arial"/>
        </w:rPr>
        <w:tab/>
      </w:r>
      <w:r w:rsidR="00E834CC">
        <w:rPr>
          <w:rFonts w:cs="Arial"/>
        </w:rPr>
        <w:t>11/10/20</w:t>
      </w:r>
    </w:p>
    <w:p w14:paraId="12160994" w14:textId="77777777" w:rsidR="00BF104C" w:rsidRDefault="00BF104C"/>
    <w:p w14:paraId="727A20FE" w14:textId="77777777" w:rsidR="00BF104C" w:rsidRDefault="002B128A">
      <w:pPr>
        <w:rPr>
          <w:bCs/>
        </w:rPr>
      </w:pPr>
      <w:r>
        <w:rPr>
          <w:b/>
        </w:rPr>
        <w:t>1.0  Description.</w:t>
      </w:r>
      <w:r>
        <w:rPr>
          <w:bCs/>
        </w:rPr>
        <w:t xml:space="preserve">  This provision contains general structural steel requirements for this project.</w:t>
      </w:r>
    </w:p>
    <w:p w14:paraId="5250B33F" w14:textId="77777777" w:rsidR="00BF104C" w:rsidRDefault="00BF104C"/>
    <w:p w14:paraId="7CF96534" w14:textId="77777777" w:rsidR="00BF104C" w:rsidRDefault="002B128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rFonts w:cs="Arial"/>
        </w:rPr>
      </w:pPr>
      <w:r>
        <w:rPr>
          <w:b/>
          <w:bCs/>
        </w:rPr>
        <w:t xml:space="preserve">2.0  Material.  </w:t>
      </w:r>
      <w:r>
        <w:t xml:space="preserve">All material shall be in accordance with Division 1000, Material Details, and specifically as shown below. </w:t>
      </w:r>
      <w:r>
        <w:rPr>
          <w:rFonts w:cs="Arial"/>
        </w:rPr>
        <w:t xml:space="preserve"> The gray epoxy-mastic primer (non-aluminum) shall be compatible with concrete and produce a dry film thickness of no less than 3 mils (75 </w:t>
      </w:r>
      <w:proofErr w:type="spellStart"/>
      <w:r>
        <w:rPr>
          <w:rFonts w:cs="Arial"/>
          <w:szCs w:val="26"/>
        </w:rPr>
        <w:t>μ</w:t>
      </w:r>
      <w:r>
        <w:rPr>
          <w:rFonts w:cs="Arial"/>
        </w:rPr>
        <w:t>m</w:t>
      </w:r>
      <w:proofErr w:type="spellEnd"/>
      <w:r>
        <w:rPr>
          <w:rFonts w:cs="Arial"/>
        </w:rPr>
        <w:t>).</w:t>
      </w:r>
    </w:p>
    <w:p w14:paraId="06AC7C9F" w14:textId="77777777" w:rsidR="00BF104C" w:rsidRDefault="00BF10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1"/>
        <w:gridCol w:w="1198"/>
      </w:tblGrid>
      <w:tr w:rsidR="00BF104C" w14:paraId="13E96D46" w14:textId="77777777">
        <w:trPr>
          <w:cantSplit/>
          <w:trHeight w:val="288"/>
          <w:tblHeader/>
          <w:jc w:val="center"/>
        </w:trPr>
        <w:tc>
          <w:tcPr>
            <w:tcW w:w="4591" w:type="dxa"/>
            <w:vAlign w:val="center"/>
          </w:tcPr>
          <w:p w14:paraId="223595A3" w14:textId="77777777" w:rsidR="00BF104C" w:rsidRDefault="002B128A">
            <w:pPr>
              <w:jc w:val="center"/>
              <w:rPr>
                <w:b/>
                <w:bCs/>
              </w:rPr>
            </w:pPr>
            <w:r>
              <w:rPr>
                <w:b/>
                <w:bCs/>
              </w:rPr>
              <w:t>Item</w:t>
            </w:r>
          </w:p>
        </w:tc>
        <w:tc>
          <w:tcPr>
            <w:tcW w:w="1198" w:type="dxa"/>
            <w:vAlign w:val="center"/>
          </w:tcPr>
          <w:p w14:paraId="7CBA58B1" w14:textId="77777777" w:rsidR="00BF104C" w:rsidRDefault="002B128A">
            <w:pPr>
              <w:jc w:val="center"/>
              <w:rPr>
                <w:b/>
                <w:bCs/>
              </w:rPr>
            </w:pPr>
            <w:r>
              <w:rPr>
                <w:b/>
                <w:bCs/>
              </w:rPr>
              <w:t>Section</w:t>
            </w:r>
          </w:p>
        </w:tc>
      </w:tr>
      <w:tr w:rsidR="00BF104C" w14:paraId="6C9AD75F" w14:textId="77777777">
        <w:trPr>
          <w:cantSplit/>
          <w:trHeight w:val="288"/>
          <w:jc w:val="center"/>
        </w:trPr>
        <w:tc>
          <w:tcPr>
            <w:tcW w:w="4591" w:type="dxa"/>
            <w:vAlign w:val="center"/>
          </w:tcPr>
          <w:p w14:paraId="7D11CA5A" w14:textId="77777777" w:rsidR="00BF104C" w:rsidRDefault="002B128A">
            <w:pPr>
              <w:jc w:val="left"/>
            </w:pPr>
            <w:r>
              <w:t>Structural Steel Construction</w:t>
            </w:r>
          </w:p>
        </w:tc>
        <w:tc>
          <w:tcPr>
            <w:tcW w:w="1198" w:type="dxa"/>
            <w:vAlign w:val="center"/>
          </w:tcPr>
          <w:p w14:paraId="2E8CDA2E" w14:textId="77777777" w:rsidR="00BF104C" w:rsidRDefault="002B128A">
            <w:pPr>
              <w:jc w:val="center"/>
              <w:rPr>
                <w:color w:val="0000FF"/>
              </w:rPr>
            </w:pPr>
            <w:r>
              <w:rPr>
                <w:color w:val="0000FF"/>
              </w:rPr>
              <w:t>712</w:t>
            </w:r>
          </w:p>
        </w:tc>
      </w:tr>
      <w:tr w:rsidR="00BF104C" w14:paraId="0D3591F8" w14:textId="77777777">
        <w:trPr>
          <w:cantSplit/>
          <w:trHeight w:val="288"/>
          <w:jc w:val="center"/>
        </w:trPr>
        <w:tc>
          <w:tcPr>
            <w:tcW w:w="4591" w:type="dxa"/>
            <w:vAlign w:val="center"/>
          </w:tcPr>
          <w:p w14:paraId="0B454E5A" w14:textId="77777777" w:rsidR="00BF104C" w:rsidRDefault="002B128A">
            <w:pPr>
              <w:jc w:val="left"/>
            </w:pPr>
            <w:r>
              <w:t>Gray Epoxy-Mastic Primer (non-aluminum)</w:t>
            </w:r>
          </w:p>
        </w:tc>
        <w:tc>
          <w:tcPr>
            <w:tcW w:w="1198" w:type="dxa"/>
            <w:vAlign w:val="center"/>
          </w:tcPr>
          <w:p w14:paraId="7CDB8977" w14:textId="77777777" w:rsidR="00BF104C" w:rsidRDefault="002B128A">
            <w:pPr>
              <w:jc w:val="center"/>
              <w:rPr>
                <w:color w:val="0000FF"/>
              </w:rPr>
            </w:pPr>
            <w:r>
              <w:rPr>
                <w:color w:val="0000FF"/>
              </w:rPr>
              <w:t>1045</w:t>
            </w:r>
          </w:p>
        </w:tc>
      </w:tr>
      <w:tr w:rsidR="00BF104C" w14:paraId="5E3A64A3" w14:textId="77777777">
        <w:trPr>
          <w:cantSplit/>
          <w:trHeight w:val="288"/>
          <w:jc w:val="center"/>
        </w:trPr>
        <w:tc>
          <w:tcPr>
            <w:tcW w:w="4591" w:type="dxa"/>
            <w:vAlign w:val="center"/>
          </w:tcPr>
          <w:p w14:paraId="5B2D94C2" w14:textId="77777777" w:rsidR="00BF104C" w:rsidRDefault="002B128A">
            <w:pPr>
              <w:jc w:val="left"/>
            </w:pPr>
            <w:r>
              <w:t>Structural Steel Fabrication</w:t>
            </w:r>
          </w:p>
        </w:tc>
        <w:tc>
          <w:tcPr>
            <w:tcW w:w="1198" w:type="dxa"/>
            <w:vAlign w:val="center"/>
          </w:tcPr>
          <w:p w14:paraId="7EB0C31E" w14:textId="77777777" w:rsidR="00BF104C" w:rsidRDefault="002B128A">
            <w:pPr>
              <w:jc w:val="center"/>
              <w:rPr>
                <w:color w:val="0000FF"/>
              </w:rPr>
            </w:pPr>
            <w:r>
              <w:rPr>
                <w:color w:val="0000FF"/>
              </w:rPr>
              <w:t>1080</w:t>
            </w:r>
          </w:p>
        </w:tc>
      </w:tr>
      <w:tr w:rsidR="00BF104C" w14:paraId="5E1E6B56" w14:textId="77777777">
        <w:trPr>
          <w:cantSplit/>
          <w:trHeight w:val="288"/>
          <w:jc w:val="center"/>
        </w:trPr>
        <w:tc>
          <w:tcPr>
            <w:tcW w:w="4591" w:type="dxa"/>
            <w:vAlign w:val="center"/>
          </w:tcPr>
          <w:p w14:paraId="01339C1B" w14:textId="77777777" w:rsidR="00BF104C" w:rsidRDefault="002B128A">
            <w:pPr>
              <w:jc w:val="left"/>
            </w:pPr>
            <w:r>
              <w:t>Coating of Structural Steel</w:t>
            </w:r>
          </w:p>
        </w:tc>
        <w:tc>
          <w:tcPr>
            <w:tcW w:w="1198" w:type="dxa"/>
            <w:vAlign w:val="center"/>
          </w:tcPr>
          <w:p w14:paraId="33F877F3" w14:textId="77777777" w:rsidR="00BF104C" w:rsidRDefault="002B128A">
            <w:pPr>
              <w:jc w:val="center"/>
              <w:rPr>
                <w:color w:val="0000FF"/>
              </w:rPr>
            </w:pPr>
            <w:r>
              <w:rPr>
                <w:color w:val="0000FF"/>
              </w:rPr>
              <w:t>1081</w:t>
            </w:r>
          </w:p>
        </w:tc>
      </w:tr>
    </w:tbl>
    <w:p w14:paraId="5008A137" w14:textId="77777777" w:rsidR="00BF104C" w:rsidRDefault="00BF104C"/>
    <w:p w14:paraId="761D8A67" w14:textId="77777777" w:rsidR="00BF104C" w:rsidRDefault="002B128A">
      <w:pPr>
        <w:rPr>
          <w:b/>
          <w:bCs/>
        </w:rPr>
      </w:pPr>
      <w:r>
        <w:rPr>
          <w:b/>
          <w:bCs/>
        </w:rPr>
        <w:t>3.0  Construction Requirements.</w:t>
      </w:r>
    </w:p>
    <w:p w14:paraId="66537FEF" w14:textId="77777777" w:rsidR="00BF104C" w:rsidRDefault="00BF104C">
      <w:pPr>
        <w:rPr>
          <w:rFonts w:cs="Arial"/>
        </w:rPr>
      </w:pPr>
    </w:p>
    <w:p w14:paraId="2C5FF108" w14:textId="77777777" w:rsidR="00BF104C" w:rsidRDefault="002B128A">
      <w:pPr>
        <w:rPr>
          <w:rFonts w:cs="Arial"/>
        </w:rPr>
      </w:pPr>
      <w:r>
        <w:rPr>
          <w:rFonts w:cs="Arial"/>
          <w:b/>
          <w:bCs/>
        </w:rPr>
        <w:t xml:space="preserve">3.1  </w:t>
      </w:r>
      <w:r>
        <w:rPr>
          <w:rFonts w:cs="Arial"/>
        </w:rPr>
        <w:t>Before fabrication of new metalwork, the contractor shall make the necessary measurements in the field to verify dimensions of the existing structure where new members are affected.  Any deviation of the dimensions shown on the plans shall be called to the engineer's attention.  The contractor shall be responsible for developing all required dimensional adjustments and coordinating the implementation of the dimensional adjustments with all involved fabricators and subcontractors.</w:t>
      </w:r>
    </w:p>
    <w:p w14:paraId="77AE8763" w14:textId="77777777" w:rsidR="00BF104C" w:rsidRDefault="00BF104C">
      <w:pPr>
        <w:rPr>
          <w:rFonts w:cs="Arial"/>
        </w:rPr>
      </w:pPr>
    </w:p>
    <w:p w14:paraId="7D8CC5BD" w14:textId="77777777" w:rsidR="00BF104C" w:rsidRDefault="002B128A">
      <w:pPr>
        <w:rPr>
          <w:rFonts w:cs="Arial"/>
        </w:rPr>
      </w:pPr>
      <w:r>
        <w:rPr>
          <w:rFonts w:cs="Arial"/>
          <w:b/>
          <w:bCs/>
        </w:rPr>
        <w:t xml:space="preserve">3.2  </w:t>
      </w:r>
      <w:r>
        <w:rPr>
          <w:rFonts w:cs="Arial"/>
        </w:rPr>
        <w:t>Prior to erection of the new structural steel, the steel that is to remain shall be carefully inspected for irregularities.  If such irregularities are found, the irregularities shall be brought to the attention of the engineer.</w:t>
      </w:r>
    </w:p>
    <w:p w14:paraId="1C8AEFB4" w14:textId="77777777" w:rsidR="00BF104C" w:rsidRDefault="00BF104C">
      <w:pPr>
        <w:rPr>
          <w:rFonts w:cs="Arial"/>
        </w:rPr>
      </w:pPr>
    </w:p>
    <w:p w14:paraId="191A929A" w14:textId="77777777" w:rsidR="00BF104C" w:rsidRDefault="002B128A">
      <w:pPr>
        <w:rPr>
          <w:rFonts w:cs="Arial"/>
        </w:rPr>
      </w:pPr>
      <w:r>
        <w:rPr>
          <w:rFonts w:cs="Arial"/>
          <w:b/>
          <w:bCs/>
        </w:rPr>
        <w:t xml:space="preserve">3.3  </w:t>
      </w:r>
      <w:r>
        <w:rPr>
          <w:rFonts w:cs="Arial"/>
        </w:rPr>
        <w:t>Holes in the new diaphragm or cross frame connection plates and angles may be used as a template for drilling the holes in the existing material.</w:t>
      </w:r>
    </w:p>
    <w:p w14:paraId="2B76D8FE" w14:textId="77777777" w:rsidR="00BF104C" w:rsidRDefault="00BF104C">
      <w:pPr>
        <w:rPr>
          <w:rFonts w:cs="Arial"/>
        </w:rPr>
      </w:pPr>
    </w:p>
    <w:p w14:paraId="096F40D9" w14:textId="77777777" w:rsidR="00BF104C" w:rsidRDefault="002B128A">
      <w:pPr>
        <w:rPr>
          <w:rFonts w:cs="Arial"/>
        </w:rPr>
      </w:pPr>
      <w:r>
        <w:rPr>
          <w:rFonts w:cs="Arial"/>
          <w:b/>
          <w:bCs/>
        </w:rPr>
        <w:t xml:space="preserve">3.4  </w:t>
      </w:r>
      <w:r>
        <w:rPr>
          <w:rFonts w:cs="Arial"/>
        </w:rPr>
        <w:t>A minimum edge distance shall be maintained for all field drilled holes.  The minimum edge distance for bolts shall be as shown in table below measured from the centerline of holes.</w:t>
      </w:r>
    </w:p>
    <w:p w14:paraId="0C177DA2" w14:textId="77777777" w:rsidR="00BF104C" w:rsidRDefault="00BF104C">
      <w:pPr>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2892"/>
      </w:tblGrid>
      <w:tr w:rsidR="00BF104C" w14:paraId="2FE78B8A" w14:textId="77777777">
        <w:trPr>
          <w:cantSplit/>
          <w:tblHeader/>
          <w:jc w:val="center"/>
        </w:trPr>
        <w:tc>
          <w:tcPr>
            <w:tcW w:w="1710" w:type="dxa"/>
            <w:vAlign w:val="center"/>
          </w:tcPr>
          <w:p w14:paraId="7C3B5730" w14:textId="77777777" w:rsidR="00BF104C" w:rsidRDefault="002B128A">
            <w:pPr>
              <w:jc w:val="center"/>
              <w:rPr>
                <w:rFonts w:cs="Arial"/>
                <w:b/>
                <w:bCs/>
              </w:rPr>
            </w:pPr>
            <w:r>
              <w:rPr>
                <w:rFonts w:cs="Arial"/>
                <w:b/>
                <w:bCs/>
              </w:rPr>
              <w:t>Bolt Diameter</w:t>
            </w:r>
          </w:p>
        </w:tc>
        <w:tc>
          <w:tcPr>
            <w:tcW w:w="2892" w:type="dxa"/>
          </w:tcPr>
          <w:p w14:paraId="0B8CB424" w14:textId="77777777" w:rsidR="00BF104C" w:rsidRDefault="002B128A">
            <w:pPr>
              <w:jc w:val="center"/>
              <w:rPr>
                <w:rFonts w:cs="Arial"/>
                <w:b/>
                <w:bCs/>
              </w:rPr>
            </w:pPr>
            <w:r>
              <w:rPr>
                <w:rFonts w:cs="Arial"/>
                <w:b/>
                <w:bCs/>
              </w:rPr>
              <w:t>Minimum Edge Distance</w:t>
            </w:r>
          </w:p>
        </w:tc>
      </w:tr>
      <w:tr w:rsidR="00BF104C" w14:paraId="03AA42EE" w14:textId="77777777">
        <w:trPr>
          <w:tblHeader/>
          <w:jc w:val="center"/>
        </w:trPr>
        <w:tc>
          <w:tcPr>
            <w:tcW w:w="1710" w:type="dxa"/>
          </w:tcPr>
          <w:p w14:paraId="60E10B64" w14:textId="77777777" w:rsidR="00BF104C" w:rsidRDefault="002B128A">
            <w:pPr>
              <w:jc w:val="center"/>
              <w:rPr>
                <w:rFonts w:cs="Arial"/>
                <w:b/>
                <w:bCs/>
              </w:rPr>
            </w:pPr>
            <w:r>
              <w:rPr>
                <w:rFonts w:cs="Arial"/>
                <w:b/>
                <w:bCs/>
              </w:rPr>
              <w:t>inch (mm)</w:t>
            </w:r>
          </w:p>
        </w:tc>
        <w:tc>
          <w:tcPr>
            <w:tcW w:w="2892" w:type="dxa"/>
          </w:tcPr>
          <w:p w14:paraId="347EE880" w14:textId="77777777" w:rsidR="00BF104C" w:rsidRDefault="002B128A">
            <w:pPr>
              <w:jc w:val="center"/>
              <w:rPr>
                <w:rFonts w:cs="Arial"/>
                <w:b/>
                <w:bCs/>
              </w:rPr>
            </w:pPr>
            <w:r>
              <w:rPr>
                <w:rFonts w:cs="Arial"/>
                <w:b/>
                <w:bCs/>
              </w:rPr>
              <w:t>inch (mm)</w:t>
            </w:r>
          </w:p>
        </w:tc>
      </w:tr>
      <w:tr w:rsidR="00BF104C" w14:paraId="749DB100" w14:textId="77777777">
        <w:trPr>
          <w:jc w:val="center"/>
        </w:trPr>
        <w:tc>
          <w:tcPr>
            <w:tcW w:w="1710" w:type="dxa"/>
          </w:tcPr>
          <w:p w14:paraId="35D6626D" w14:textId="77777777" w:rsidR="00BF104C" w:rsidRDefault="002B128A">
            <w:pPr>
              <w:jc w:val="center"/>
              <w:rPr>
                <w:rFonts w:cs="Arial"/>
              </w:rPr>
            </w:pPr>
            <w:r>
              <w:rPr>
                <w:rFonts w:cs="Arial"/>
              </w:rPr>
              <w:t>3/4 (19.0)</w:t>
            </w:r>
          </w:p>
        </w:tc>
        <w:tc>
          <w:tcPr>
            <w:tcW w:w="2892" w:type="dxa"/>
          </w:tcPr>
          <w:p w14:paraId="7C8AD1C0" w14:textId="77777777" w:rsidR="00BF104C" w:rsidRDefault="002B128A">
            <w:pPr>
              <w:jc w:val="center"/>
              <w:rPr>
                <w:rFonts w:cs="Arial"/>
              </w:rPr>
            </w:pPr>
            <w:r>
              <w:rPr>
                <w:rFonts w:cs="Arial"/>
              </w:rPr>
              <w:t>1-1/4 (32)</w:t>
            </w:r>
          </w:p>
        </w:tc>
      </w:tr>
      <w:tr w:rsidR="00BF104C" w14:paraId="58B57EDB" w14:textId="77777777">
        <w:trPr>
          <w:jc w:val="center"/>
        </w:trPr>
        <w:tc>
          <w:tcPr>
            <w:tcW w:w="1710" w:type="dxa"/>
          </w:tcPr>
          <w:p w14:paraId="609C4FC0" w14:textId="77777777" w:rsidR="00BF104C" w:rsidRDefault="002B128A">
            <w:pPr>
              <w:jc w:val="center"/>
              <w:rPr>
                <w:rFonts w:cs="Arial"/>
              </w:rPr>
            </w:pPr>
            <w:r>
              <w:rPr>
                <w:rFonts w:cs="Arial"/>
              </w:rPr>
              <w:t>7/8 (22.2)</w:t>
            </w:r>
          </w:p>
        </w:tc>
        <w:tc>
          <w:tcPr>
            <w:tcW w:w="2892" w:type="dxa"/>
          </w:tcPr>
          <w:p w14:paraId="67AC513D" w14:textId="77777777" w:rsidR="00BF104C" w:rsidRDefault="002B128A">
            <w:pPr>
              <w:jc w:val="center"/>
              <w:rPr>
                <w:rFonts w:cs="Arial"/>
              </w:rPr>
            </w:pPr>
            <w:r>
              <w:rPr>
                <w:rFonts w:cs="Arial"/>
              </w:rPr>
              <w:t>1-1/2 (38)</w:t>
            </w:r>
          </w:p>
        </w:tc>
      </w:tr>
      <w:tr w:rsidR="00BF104C" w14:paraId="684F5855" w14:textId="77777777">
        <w:trPr>
          <w:jc w:val="center"/>
        </w:trPr>
        <w:tc>
          <w:tcPr>
            <w:tcW w:w="1710" w:type="dxa"/>
          </w:tcPr>
          <w:p w14:paraId="45D06E67" w14:textId="77777777" w:rsidR="00BF104C" w:rsidRDefault="002B128A">
            <w:pPr>
              <w:jc w:val="center"/>
              <w:rPr>
                <w:rFonts w:cs="Arial"/>
              </w:rPr>
            </w:pPr>
            <w:r>
              <w:rPr>
                <w:rFonts w:cs="Arial"/>
              </w:rPr>
              <w:t>1 (25.4)</w:t>
            </w:r>
          </w:p>
        </w:tc>
        <w:tc>
          <w:tcPr>
            <w:tcW w:w="2892" w:type="dxa"/>
          </w:tcPr>
          <w:p w14:paraId="68282CE6" w14:textId="77777777" w:rsidR="00BF104C" w:rsidRDefault="002B128A">
            <w:pPr>
              <w:jc w:val="center"/>
              <w:rPr>
                <w:rFonts w:cs="Arial"/>
              </w:rPr>
            </w:pPr>
            <w:r>
              <w:rPr>
                <w:rFonts w:cs="Arial"/>
              </w:rPr>
              <w:t>1-3/4 (45)</w:t>
            </w:r>
          </w:p>
        </w:tc>
      </w:tr>
    </w:tbl>
    <w:p w14:paraId="46FC9A7B" w14:textId="77777777" w:rsidR="00BF104C" w:rsidRDefault="00BF104C">
      <w:pPr>
        <w:rPr>
          <w:rFonts w:cs="Arial"/>
        </w:rPr>
      </w:pPr>
    </w:p>
    <w:p w14:paraId="63BF4636" w14:textId="27657689" w:rsidR="00BF104C" w:rsidRDefault="002B128A">
      <w:pPr>
        <w:rPr>
          <w:rFonts w:cs="Arial"/>
        </w:rPr>
      </w:pPr>
      <w:r>
        <w:rPr>
          <w:rFonts w:cs="Arial"/>
          <w:b/>
        </w:rPr>
        <w:t xml:space="preserve">3.5  </w:t>
      </w:r>
      <w:r>
        <w:rPr>
          <w:rFonts w:cs="Arial"/>
          <w:bCs/>
        </w:rPr>
        <w:t xml:space="preserve">The surfaces of existing steel that will become faying surfaces for </w:t>
      </w:r>
      <w:r w:rsidR="00E834CC">
        <w:rPr>
          <w:rFonts w:cs="Arial"/>
          <w:bCs/>
        </w:rPr>
        <w:t xml:space="preserve">non-slip critical </w:t>
      </w:r>
      <w:r>
        <w:rPr>
          <w:rFonts w:cs="Arial"/>
          <w:bCs/>
        </w:rPr>
        <w:t>new connections</w:t>
      </w:r>
      <w:r w:rsidR="00E834CC">
        <w:rPr>
          <w:rFonts w:cs="Arial"/>
          <w:bCs/>
        </w:rPr>
        <w:t>, typically secondary members,</w:t>
      </w:r>
      <w:r>
        <w:rPr>
          <w:rFonts w:cs="Arial"/>
          <w:bCs/>
        </w:rPr>
        <w:t xml:space="preserve"> shall be cleaned according to the manufacturer's recommendation and with a minimum of SSPC-SP-3 surface preparation and coated with one prime coat of Gray Epoxy-Mastic Primer (non-aluminum) in accordance with </w:t>
      </w:r>
      <w:r>
        <w:rPr>
          <w:rFonts w:cs="Arial"/>
          <w:bCs/>
          <w:color w:val="0000FF"/>
        </w:rPr>
        <w:t>Sec 1081</w:t>
      </w:r>
      <w:r>
        <w:rPr>
          <w:rFonts w:cs="Arial"/>
          <w:bCs/>
        </w:rPr>
        <w:t>.</w:t>
      </w:r>
      <w:r w:rsidR="00E834CC">
        <w:rPr>
          <w:rFonts w:cs="Arial"/>
          <w:bCs/>
        </w:rPr>
        <w:t xml:space="preserve">  The surfaces of existing st</w:t>
      </w:r>
      <w:bookmarkStart w:id="0" w:name="_GoBack"/>
      <w:bookmarkEnd w:id="0"/>
      <w:r w:rsidR="00E834CC">
        <w:rPr>
          <w:rFonts w:cs="Arial"/>
          <w:bCs/>
        </w:rPr>
        <w:t xml:space="preserve">eel that will become faying surfaces for slip critical new connections, typically primary members, shall be in accordance with contact surfaces in </w:t>
      </w:r>
      <w:r w:rsidR="004D3864">
        <w:rPr>
          <w:rFonts w:cs="Arial"/>
          <w:bCs/>
          <w:color w:val="0000FF"/>
        </w:rPr>
        <w:t>Sec 1081</w:t>
      </w:r>
      <w:r w:rsidR="00E834CC">
        <w:rPr>
          <w:rFonts w:cs="Arial"/>
          <w:bCs/>
        </w:rPr>
        <w:t>.  Primary member connections include girder/beam splices, end diaphragms and intermediate diaphragms in curved structures.</w:t>
      </w:r>
    </w:p>
    <w:p w14:paraId="3BF5642D" w14:textId="77777777" w:rsidR="00BF104C" w:rsidRDefault="00BF104C">
      <w:pPr>
        <w:rPr>
          <w:rFonts w:cs="Arial"/>
        </w:rPr>
      </w:pPr>
    </w:p>
    <w:p w14:paraId="5010F507" w14:textId="733AD0C9" w:rsidR="00BF104C" w:rsidRDefault="002B128A">
      <w:pPr>
        <w:rPr>
          <w:rFonts w:cs="Arial"/>
          <w:bCs/>
        </w:rPr>
      </w:pPr>
      <w:r>
        <w:rPr>
          <w:rFonts w:cs="Arial"/>
          <w:b/>
        </w:rPr>
        <w:lastRenderedPageBreak/>
        <w:t xml:space="preserve">3.6  </w:t>
      </w:r>
      <w:r>
        <w:rPr>
          <w:rFonts w:cs="Arial"/>
          <w:bCs/>
        </w:rPr>
        <w:t>Exposed girder</w:t>
      </w:r>
      <w:r w:rsidR="004D3864">
        <w:rPr>
          <w:rFonts w:cs="Arial"/>
          <w:bCs/>
        </w:rPr>
        <w:t>/beam</w:t>
      </w:r>
      <w:r>
        <w:rPr>
          <w:rFonts w:cs="Arial"/>
          <w:bCs/>
        </w:rPr>
        <w:t xml:space="preserve"> areas that are not faying surfaces or not covered by concrete that are scratched, damaged by the contractor or by field welding operations shall be touched up with Gray Epoxy-Mastic Primer (non-aluminum) in accordance with </w:t>
      </w:r>
      <w:r>
        <w:rPr>
          <w:rFonts w:cs="Arial"/>
          <w:bCs/>
          <w:color w:val="0000FF"/>
        </w:rPr>
        <w:t>Sec 1081</w:t>
      </w:r>
      <w:r>
        <w:rPr>
          <w:rFonts w:cs="Arial"/>
          <w:bCs/>
        </w:rPr>
        <w:t>.  The areas shall receive the coating system as shown on the plans.</w:t>
      </w:r>
    </w:p>
    <w:p w14:paraId="3594EFDA" w14:textId="77777777" w:rsidR="00BF104C" w:rsidRDefault="00BF104C">
      <w:pPr>
        <w:rPr>
          <w:rFonts w:cs="Arial"/>
          <w:bCs/>
        </w:rPr>
      </w:pPr>
    </w:p>
    <w:p w14:paraId="2DC23DA9" w14:textId="77777777" w:rsidR="00BF104C" w:rsidRDefault="002B128A">
      <w:r>
        <w:rPr>
          <w:b/>
          <w:bCs/>
        </w:rPr>
        <w:t xml:space="preserve">4.0  Method of Measurement.  </w:t>
      </w:r>
      <w:r>
        <w:t>No measurement will be made.</w:t>
      </w:r>
    </w:p>
    <w:p w14:paraId="0FC45078" w14:textId="77777777" w:rsidR="00BF104C" w:rsidRDefault="00BF104C"/>
    <w:p w14:paraId="794FB76C" w14:textId="77777777" w:rsidR="00BF104C" w:rsidRDefault="002B128A">
      <w:pPr>
        <w:rPr>
          <w:rFonts w:cs="Arial"/>
        </w:rPr>
      </w:pPr>
      <w:r>
        <w:rPr>
          <w:b/>
          <w:bCs/>
        </w:rPr>
        <w:t xml:space="preserve">5.0  Basis of Payment.  </w:t>
      </w:r>
      <w:r>
        <w:t xml:space="preserve">Payment for the above described work will be considered completely covered by the contract unit price for the structural steel items included in the contract.  </w:t>
      </w:r>
      <w:r>
        <w:rPr>
          <w:rFonts w:cs="Arial"/>
        </w:rPr>
        <w:t>No payments or adjustments will be made where new members are affected due to any deviation of the dimensions shown on plans or shop drawings.</w:t>
      </w:r>
    </w:p>
    <w:sectPr w:rsidR="00BF104C" w:rsidSect="00E834CC">
      <w:footerReference w:type="default" r:id="rId6"/>
      <w:headerReference w:type="first" r:id="rId7"/>
      <w:footerReference w:type="first" r:id="rId8"/>
      <w:type w:val="continuous"/>
      <w:pgSz w:w="12240" w:h="15840" w:code="1"/>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C061" w14:textId="77777777" w:rsidR="00BF104C" w:rsidRDefault="002B128A">
      <w:r>
        <w:separator/>
      </w:r>
    </w:p>
  </w:endnote>
  <w:endnote w:type="continuationSeparator" w:id="0">
    <w:p w14:paraId="6403002D" w14:textId="77777777" w:rsidR="00BF104C" w:rsidRDefault="002B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729" w14:textId="77777777" w:rsidR="00C309C5" w:rsidRDefault="00CD27A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CCE8" w14:textId="77777777" w:rsidR="00C309C5" w:rsidRDefault="00CD27A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CB468" w14:textId="77777777" w:rsidR="00BF104C" w:rsidRDefault="002B128A">
      <w:r>
        <w:separator/>
      </w:r>
    </w:p>
  </w:footnote>
  <w:footnote w:type="continuationSeparator" w:id="0">
    <w:p w14:paraId="05701247" w14:textId="77777777" w:rsidR="00BF104C" w:rsidRDefault="002B1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8782B" w14:textId="77777777" w:rsidR="00C309C5" w:rsidRDefault="00CD27A6">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8A"/>
    <w:rsid w:val="002B128A"/>
    <w:rsid w:val="004D3864"/>
    <w:rsid w:val="00BF104C"/>
    <w:rsid w:val="00C309C5"/>
    <w:rsid w:val="00CD27A6"/>
    <w:rsid w:val="00E8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B8FDF"/>
  <w15:docId w15:val="{5DA093E5-5628-4684-BF61-545FA8E3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TopofForm">
    <w:name w:val="HTML Top of Form"/>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BottomofForm">
    <w:name w:val="HTML Bottom of Form"/>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88"/>
    </w:pPr>
    <w:rPr>
      <w:rFonts w:ascii="Times New Roman" w:hAnsi="Times New Roman"/>
      <w:sz w:val="24"/>
    </w:rPr>
  </w:style>
  <w:style w:type="paragraph" w:styleId="NormalWeb">
    <w:name w:val="Normal (Web)"/>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76"/>
    </w:pPr>
    <w:rPr>
      <w:rFonts w:ascii="Times New Roman" w:hAnsi="Times New Roman"/>
      <w:sz w:val="24"/>
    </w:rPr>
  </w:style>
  <w:style w:type="paragraph" w:customStyle="1" w:styleId="HTMLAcronym1">
    <w:name w:val="HTML Acronym1"/>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pPr>
    <w:rPr>
      <w:rFonts w:ascii="Times New Roman" w:hAnsi="Times New Roman"/>
      <w:sz w:val="24"/>
    </w:rPr>
  </w:style>
  <w:style w:type="paragraph" w:styleId="HTMLAddress">
    <w:name w:val="HTML Address"/>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rFonts w:ascii="Times New Roman" w:hAnsi="Times New Roman"/>
      <w:b/>
      <w:i/>
      <w:sz w:val="24"/>
    </w:rPr>
  </w:style>
  <w:style w:type="paragraph" w:styleId="Title">
    <w:name w:val="Title"/>
    <w:basedOn w:val="Normal"/>
    <w:qFormat/>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b/>
      <w:sz w:val="36"/>
    </w:rPr>
  </w:style>
  <w:style w:type="paragraph" w:styleId="Header">
    <w:name w:val="header"/>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Footer">
    <w:name w:val="footer"/>
    <w:basedOn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customStyle="1" w:styleId="HTMLCite1">
    <w:name w:val="HTML Cite1"/>
    <w:basedOn w:val="Normal"/>
    <w:semiHidden/>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customStyle="1" w:styleId="HTMLCode1">
    <w:name w:val="HTML Code1"/>
    <w:basedOn w:val="Normal"/>
    <w:semiHidden/>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 Smith</dc:creator>
  <cp:lastModifiedBy>Daniel M. Smith</cp:lastModifiedBy>
  <cp:revision>3</cp:revision>
  <cp:lastPrinted>2004-05-25T21:42:00Z</cp:lastPrinted>
  <dcterms:created xsi:type="dcterms:W3CDTF">2020-11-10T21:00:00Z</dcterms:created>
  <dcterms:modified xsi:type="dcterms:W3CDTF">2020-11-10T21:16:00Z</dcterms:modified>
</cp:coreProperties>
</file>