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AB73" w14:textId="5E72EDEF" w:rsidR="006315B3" w:rsidRDefault="006315B3" w:rsidP="006315B3">
      <w:pPr>
        <w:contextualSpacing/>
        <w:rPr>
          <w:rFonts w:cs="Arial"/>
          <w:b/>
          <w:szCs w:val="22"/>
        </w:rPr>
      </w:pPr>
      <w:r w:rsidRPr="00B4126A">
        <w:rPr>
          <w:rFonts w:eastAsia="Calibri"/>
          <w:b/>
          <w:snapToGrid/>
          <w:szCs w:val="22"/>
        </w:rPr>
        <w:t xml:space="preserve">Reviewers:  Use this BSP </w:t>
      </w:r>
      <w:r w:rsidRPr="00B4126A">
        <w:rPr>
          <w:rFonts w:cs="Arial"/>
          <w:b/>
          <w:color w:val="222222"/>
          <w:szCs w:val="22"/>
          <w:shd w:val="clear" w:color="auto" w:fill="FFFFFF"/>
        </w:rPr>
        <w:t xml:space="preserve">when </w:t>
      </w:r>
      <w:r w:rsidR="009E369F">
        <w:rPr>
          <w:rFonts w:cs="Arial"/>
          <w:b/>
          <w:color w:val="222222"/>
          <w:szCs w:val="22"/>
          <w:shd w:val="clear" w:color="auto" w:fill="FFFFFF"/>
        </w:rPr>
        <w:t xml:space="preserve">pipe </w:t>
      </w:r>
      <w:r w:rsidRPr="00B4126A">
        <w:rPr>
          <w:rFonts w:cs="Arial"/>
          <w:b/>
          <w:color w:val="222222"/>
          <w:szCs w:val="22"/>
          <w:shd w:val="clear" w:color="auto" w:fill="FFFFFF"/>
        </w:rPr>
        <w:t xml:space="preserve">pile spacers are shown on bridge plan details and </w:t>
      </w:r>
      <w:r w:rsidRPr="00B4126A">
        <w:rPr>
          <w:rFonts w:cs="Arial"/>
          <w:b/>
          <w:szCs w:val="22"/>
        </w:rPr>
        <w:t>bridge length is less than or equal to 200 feet.</w:t>
      </w:r>
    </w:p>
    <w:p w14:paraId="00621B80" w14:textId="4EC5BD57" w:rsidR="00194ACE" w:rsidRDefault="00194ACE" w:rsidP="006315B3">
      <w:pPr>
        <w:contextualSpacing/>
        <w:rPr>
          <w:rFonts w:cs="Arial"/>
          <w:b/>
          <w:szCs w:val="22"/>
        </w:rPr>
      </w:pPr>
    </w:p>
    <w:p w14:paraId="12FD8328" w14:textId="4E92B23C" w:rsidR="00194ACE" w:rsidRPr="00194ACE" w:rsidRDefault="00194ACE" w:rsidP="006315B3">
      <w:pPr>
        <w:contextualSpacing/>
        <w:rPr>
          <w:rFonts w:cs="Arial"/>
          <w:bCs/>
          <w:szCs w:val="22"/>
          <w:u w:val="single"/>
        </w:rPr>
      </w:pPr>
      <w:r>
        <w:rPr>
          <w:rFonts w:cs="Arial"/>
          <w:b/>
          <w:szCs w:val="22"/>
        </w:rPr>
        <w:tab/>
      </w:r>
      <w:r w:rsidRPr="00194ACE">
        <w:rPr>
          <w:rFonts w:cs="Arial"/>
          <w:bCs/>
          <w:szCs w:val="22"/>
          <w:u w:val="single"/>
        </w:rPr>
        <w:t>PIPE PILE SPACERS</w:t>
      </w:r>
      <w:r w:rsidRPr="00194ACE">
        <w:rPr>
          <w:rFonts w:cs="Arial"/>
          <w:bCs/>
          <w:szCs w:val="22"/>
        </w:rPr>
        <w:tab/>
      </w:r>
      <w:r w:rsidRPr="00194ACE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194ACE">
        <w:rPr>
          <w:rFonts w:cs="Arial"/>
          <w:bCs/>
          <w:szCs w:val="22"/>
        </w:rPr>
        <w:t>1/11/22</w:t>
      </w:r>
    </w:p>
    <w:p w14:paraId="0AB2991D" w14:textId="77777777" w:rsidR="00194ACE" w:rsidRPr="00B4126A" w:rsidRDefault="00194ACE" w:rsidP="006315B3">
      <w:pPr>
        <w:contextualSpacing/>
        <w:rPr>
          <w:rFonts w:cs="Arial"/>
          <w:b/>
          <w:szCs w:val="22"/>
        </w:rPr>
      </w:pPr>
    </w:p>
    <w:p w14:paraId="103CF659" w14:textId="4890479D" w:rsidR="006315B3" w:rsidRPr="0048623C" w:rsidRDefault="006315B3" w:rsidP="006315B3">
      <w:pPr>
        <w:rPr>
          <w:rFonts w:cs="Arial"/>
          <w:strike/>
          <w:szCs w:val="22"/>
        </w:rPr>
      </w:pPr>
      <w:r w:rsidRPr="0048623C">
        <w:rPr>
          <w:rFonts w:cs="Arial"/>
          <w:b/>
          <w:szCs w:val="22"/>
        </w:rPr>
        <w:t>1.0  Description.</w:t>
      </w:r>
      <w:r w:rsidRPr="0048623C">
        <w:rPr>
          <w:rFonts w:cs="Arial"/>
          <w:szCs w:val="22"/>
        </w:rPr>
        <w:t xml:space="preserve"> </w:t>
      </w:r>
      <w:r w:rsidRPr="0048623C">
        <w:rPr>
          <w:rFonts w:cs="Arial"/>
          <w:snapToGrid/>
          <w:szCs w:val="22"/>
        </w:rPr>
        <w:t xml:space="preserve"> In lieu of using pipe pile spacers, the contractor will have the option</w:t>
      </w:r>
      <w:r w:rsidRPr="0048623C">
        <w:rPr>
          <w:rFonts w:cs="Arial"/>
          <w:szCs w:val="22"/>
        </w:rPr>
        <w:t xml:space="preserve"> to use pile jacket</w:t>
      </w:r>
      <w:r>
        <w:rPr>
          <w:rFonts w:cs="Arial"/>
          <w:szCs w:val="22"/>
        </w:rPr>
        <w:t>s</w:t>
      </w:r>
      <w:bookmarkStart w:id="0" w:name="_Hlk83623418"/>
      <w:r w:rsidRPr="0048623C">
        <w:rPr>
          <w:rFonts w:cs="Arial"/>
          <w:szCs w:val="22"/>
        </w:rPr>
        <w:t xml:space="preserve">. </w:t>
      </w:r>
      <w:bookmarkEnd w:id="0"/>
      <w:r w:rsidR="00194ACE">
        <w:rPr>
          <w:rFonts w:cs="Arial"/>
          <w:szCs w:val="22"/>
        </w:rPr>
        <w:t xml:space="preserve"> </w:t>
      </w:r>
      <w:r w:rsidRPr="0048623C">
        <w:rPr>
          <w:rFonts w:cs="Arial"/>
          <w:szCs w:val="22"/>
        </w:rPr>
        <w:t>This job special provision contains general requirements for furnishing and placing pile jacket</w:t>
      </w:r>
      <w:r>
        <w:rPr>
          <w:rFonts w:cs="Arial"/>
          <w:szCs w:val="22"/>
        </w:rPr>
        <w:t>s</w:t>
      </w:r>
      <w:r w:rsidRPr="0048623C">
        <w:rPr>
          <w:rFonts w:cs="Arial"/>
          <w:szCs w:val="22"/>
        </w:rPr>
        <w:t xml:space="preserve"> on piles.</w:t>
      </w:r>
    </w:p>
    <w:p w14:paraId="0DC35ED2" w14:textId="77777777" w:rsidR="006315B3" w:rsidRPr="0048623C" w:rsidRDefault="006315B3" w:rsidP="006315B3">
      <w:pPr>
        <w:rPr>
          <w:rFonts w:cs="Arial"/>
          <w:szCs w:val="22"/>
        </w:rPr>
      </w:pPr>
    </w:p>
    <w:p w14:paraId="1B195165" w14:textId="77777777" w:rsidR="006315B3" w:rsidRPr="0048623C" w:rsidRDefault="006315B3" w:rsidP="006315B3">
      <w:pPr>
        <w:rPr>
          <w:rFonts w:eastAsiaTheme="minorEastAsia" w:cs="Arial"/>
          <w:snapToGrid/>
          <w:szCs w:val="22"/>
        </w:rPr>
      </w:pPr>
      <w:r w:rsidRPr="0048623C">
        <w:rPr>
          <w:rFonts w:cs="Arial"/>
          <w:b/>
          <w:bCs/>
          <w:szCs w:val="22"/>
        </w:rPr>
        <w:t xml:space="preserve">2.0  Material.  </w:t>
      </w:r>
      <w:r w:rsidRPr="0048623C">
        <w:rPr>
          <w:rFonts w:eastAsiaTheme="minorEastAsia" w:cs="Arial"/>
          <w:snapToGrid/>
          <w:color w:val="000000"/>
          <w:szCs w:val="22"/>
        </w:rPr>
        <w:t xml:space="preserve">All material shall be in accordance with </w:t>
      </w:r>
      <w:r w:rsidRPr="00167F04">
        <w:rPr>
          <w:rFonts w:eastAsiaTheme="minorEastAsia" w:cs="Arial"/>
          <w:snapToGrid/>
          <w:color w:val="0000FF"/>
          <w:szCs w:val="22"/>
        </w:rPr>
        <w:t>Division 1000</w:t>
      </w:r>
      <w:r w:rsidRPr="0048623C">
        <w:rPr>
          <w:rFonts w:eastAsiaTheme="minorEastAsia" w:cs="Arial"/>
          <w:snapToGrid/>
          <w:color w:val="000000"/>
          <w:szCs w:val="22"/>
        </w:rPr>
        <w:t>, Material Details, and specifically as follows.</w:t>
      </w:r>
    </w:p>
    <w:p w14:paraId="35543E86" w14:textId="77777777" w:rsidR="006315B3" w:rsidRPr="00115F47" w:rsidRDefault="006315B3" w:rsidP="006315B3">
      <w:pPr>
        <w:rPr>
          <w:rFonts w:eastAsiaTheme="minorEastAsia" w:cs="Arial"/>
          <w:snapToGrid/>
          <w:color w:val="000000"/>
          <w:szCs w:val="22"/>
        </w:rPr>
      </w:pPr>
    </w:p>
    <w:p w14:paraId="7BEF624F" w14:textId="77777777" w:rsidR="006315B3" w:rsidRPr="00115F47" w:rsidRDefault="006315B3" w:rsidP="006315B3">
      <w:pPr>
        <w:rPr>
          <w:rFonts w:eastAsiaTheme="minorEastAsia" w:cs="Arial"/>
          <w:snapToGrid/>
          <w:color w:val="000000"/>
          <w:szCs w:val="22"/>
        </w:rPr>
      </w:pPr>
      <w:r w:rsidRPr="00115F47">
        <w:rPr>
          <w:rFonts w:eastAsiaTheme="minorEastAsia" w:cs="Arial"/>
          <w:b/>
          <w:snapToGrid/>
          <w:color w:val="000000"/>
          <w:szCs w:val="22"/>
        </w:rPr>
        <w:t xml:space="preserve">2.1  </w:t>
      </w:r>
      <w:r w:rsidRPr="0048623C">
        <w:rPr>
          <w:rFonts w:eastAsiaTheme="minorEastAsia" w:cs="Arial"/>
          <w:b/>
          <w:snapToGrid/>
          <w:color w:val="000000"/>
          <w:szCs w:val="22"/>
        </w:rPr>
        <w:t>Pile Jackets</w:t>
      </w:r>
      <w:r w:rsidRPr="00115F47">
        <w:rPr>
          <w:rFonts w:eastAsiaTheme="minorEastAsia" w:cs="Arial"/>
          <w:b/>
          <w:snapToGrid/>
          <w:color w:val="000000"/>
          <w:szCs w:val="22"/>
        </w:rPr>
        <w:t>.</w:t>
      </w:r>
    </w:p>
    <w:p w14:paraId="299B636B" w14:textId="77777777" w:rsidR="006315B3" w:rsidRPr="00115F47" w:rsidRDefault="006315B3" w:rsidP="006315B3">
      <w:pPr>
        <w:rPr>
          <w:rFonts w:eastAsiaTheme="minorEastAsia" w:cs="Arial"/>
          <w:snapToGrid/>
          <w:color w:val="000000"/>
          <w:szCs w:val="22"/>
        </w:rPr>
      </w:pPr>
    </w:p>
    <w:p w14:paraId="4941B6F1" w14:textId="77777777" w:rsidR="006315B3" w:rsidRPr="0048623C" w:rsidRDefault="006315B3" w:rsidP="006315B3">
      <w:pPr>
        <w:rPr>
          <w:rFonts w:eastAsiaTheme="minorEastAsia" w:cs="Arial"/>
          <w:snapToGrid/>
          <w:color w:val="000000"/>
          <w:szCs w:val="22"/>
        </w:rPr>
      </w:pPr>
      <w:r w:rsidRPr="0048623C">
        <w:rPr>
          <w:rFonts w:eastAsiaTheme="minorEastAsia" w:cs="Arial"/>
          <w:b/>
          <w:snapToGrid/>
          <w:color w:val="000000"/>
          <w:szCs w:val="22"/>
        </w:rPr>
        <w:t xml:space="preserve">2.1.1  </w:t>
      </w:r>
      <w:r w:rsidRPr="0048623C">
        <w:rPr>
          <w:rFonts w:eastAsiaTheme="minorEastAsia" w:cs="Arial"/>
          <w:snapToGrid/>
          <w:color w:val="000000"/>
          <w:szCs w:val="22"/>
        </w:rPr>
        <w:t>The pile jacket material shall meet or exceed the following physical requirements:</w:t>
      </w:r>
    </w:p>
    <w:p w14:paraId="791428CB" w14:textId="77777777" w:rsidR="006315B3" w:rsidRPr="0048623C" w:rsidRDefault="006315B3" w:rsidP="006315B3">
      <w:pPr>
        <w:rPr>
          <w:rFonts w:eastAsiaTheme="minorEastAsia" w:cs="Arial"/>
          <w:snapToGrid/>
          <w:color w:val="000000"/>
          <w:szCs w:val="22"/>
        </w:rPr>
      </w:pPr>
    </w:p>
    <w:tbl>
      <w:tblPr>
        <w:tblW w:w="91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0"/>
        <w:gridCol w:w="1710"/>
        <w:gridCol w:w="4126"/>
      </w:tblGrid>
      <w:tr w:rsidR="006315B3" w:rsidRPr="0048623C" w14:paraId="353D4E26" w14:textId="77777777" w:rsidTr="006729A9">
        <w:trPr>
          <w:cantSplit/>
          <w:trHeight w:val="432"/>
          <w:tblHeader/>
          <w:jc w:val="center"/>
        </w:trPr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DED82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b/>
                <w:snapToGrid/>
                <w:szCs w:val="22"/>
              </w:rPr>
            </w:pPr>
            <w:r w:rsidRPr="0048623C">
              <w:rPr>
                <w:rFonts w:eastAsiaTheme="minorEastAsia" w:cs="Arial"/>
                <w:b/>
                <w:snapToGrid/>
                <w:szCs w:val="22"/>
              </w:rPr>
              <w:t>Pile Jackets</w:t>
            </w:r>
          </w:p>
        </w:tc>
      </w:tr>
      <w:tr w:rsidR="006315B3" w:rsidRPr="0048623C" w14:paraId="29BD9E89" w14:textId="77777777" w:rsidTr="006729A9">
        <w:trPr>
          <w:cantSplit/>
          <w:trHeight w:val="288"/>
          <w:tblHeader/>
          <w:jc w:val="center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AF2" w14:textId="77777777" w:rsidR="006315B3" w:rsidRPr="00115F47" w:rsidRDefault="006315B3" w:rsidP="006729A9">
            <w:pPr>
              <w:jc w:val="center"/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  <w:t>Property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D54FCC" w14:textId="77777777" w:rsidR="006315B3" w:rsidRPr="00115F47" w:rsidRDefault="006315B3" w:rsidP="006729A9">
            <w:pPr>
              <w:jc w:val="center"/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  <w:t>Specification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3338D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b/>
                <w:bCs/>
                <w:snapToGrid/>
                <w:color w:val="000000"/>
                <w:szCs w:val="22"/>
              </w:rPr>
              <w:t>Requirement</w:t>
            </w:r>
          </w:p>
        </w:tc>
      </w:tr>
      <w:tr w:rsidR="006315B3" w:rsidRPr="0048623C" w14:paraId="141F9DFB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77C057" w14:textId="77777777" w:rsidR="006315B3" w:rsidRPr="00115F47" w:rsidRDefault="006315B3" w:rsidP="006729A9">
            <w:pPr>
              <w:jc w:val="left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cs="Arial"/>
                <w:szCs w:val="22"/>
              </w:rPr>
              <w:t>Specific Gravity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1AA9E4" w14:textId="62182D26" w:rsidR="006315B3" w:rsidRPr="00115F47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1505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F452F8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0.906 g/cc</w:t>
            </w:r>
          </w:p>
        </w:tc>
      </w:tr>
      <w:tr w:rsidR="006315B3" w:rsidRPr="0048623C" w14:paraId="656C2BA9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FC6E44" w14:textId="77777777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zCs w:val="22"/>
              </w:rPr>
              <w:t>Tensile @ Yield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1EF681" w14:textId="5488EE3C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638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E3777F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4,000 psi</w:t>
            </w:r>
          </w:p>
        </w:tc>
      </w:tr>
      <w:tr w:rsidR="006315B3" w:rsidRPr="0048623C" w14:paraId="0CA58821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D3DB26" w14:textId="77777777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zCs w:val="22"/>
              </w:rPr>
              <w:t>Flexural Modulus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8AF1BC" w14:textId="24284F10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790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8843A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195,000 psi</w:t>
            </w:r>
          </w:p>
        </w:tc>
      </w:tr>
      <w:tr w:rsidR="006315B3" w:rsidRPr="0048623C" w14:paraId="6268244E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641269" w14:textId="77777777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zCs w:val="22"/>
              </w:rPr>
              <w:t>Elongation @ Break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23175E" w14:textId="396DD56E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638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444716" w14:textId="2E4338C6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&gt; 500%</w:t>
            </w:r>
          </w:p>
        </w:tc>
      </w:tr>
      <w:tr w:rsidR="006315B3" w:rsidRPr="0048623C" w14:paraId="16703680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45B45A" w14:textId="77108020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zCs w:val="22"/>
              </w:rPr>
              <w:t>Heat Deflection Temperature @ 66</w:t>
            </w:r>
            <w:r w:rsidR="00194ACE">
              <w:rPr>
                <w:rFonts w:cs="Arial"/>
                <w:szCs w:val="22"/>
              </w:rPr>
              <w:t xml:space="preserve"> </w:t>
            </w:r>
            <w:r w:rsidRPr="0048623C">
              <w:rPr>
                <w:rFonts w:cs="Arial"/>
                <w:szCs w:val="22"/>
              </w:rPr>
              <w:t>psi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24CFBE" w14:textId="45A1B4C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648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4266D8" w14:textId="26D73686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190</w:t>
            </w:r>
            <w:r w:rsidR="009E369F">
              <w:rPr>
                <w:rFonts w:eastAsiaTheme="minorEastAsia" w:cs="Arial"/>
                <w:snapToGrid/>
                <w:color w:val="000000"/>
                <w:szCs w:val="22"/>
              </w:rPr>
              <w:t>°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F</w:t>
            </w:r>
          </w:p>
        </w:tc>
      </w:tr>
      <w:tr w:rsidR="006315B3" w:rsidRPr="0048623C" w14:paraId="0D23FF23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E791A8" w14:textId="77777777" w:rsidR="006315B3" w:rsidRPr="00463785" w:rsidRDefault="006315B3" w:rsidP="006729A9">
            <w:pPr>
              <w:autoSpaceDE w:val="0"/>
              <w:autoSpaceDN w:val="0"/>
              <w:adjustRightInd w:val="0"/>
              <w:jc w:val="left"/>
              <w:rPr>
                <w:rFonts w:cs="Arial"/>
                <w:snapToGrid/>
                <w:color w:val="000000"/>
                <w:szCs w:val="22"/>
              </w:rPr>
            </w:pPr>
            <w:r w:rsidRPr="00463785">
              <w:rPr>
                <w:rFonts w:cs="Arial"/>
                <w:snapToGrid/>
                <w:color w:val="000000"/>
                <w:szCs w:val="22"/>
              </w:rPr>
              <w:t xml:space="preserve">Impact Strength, </w:t>
            </w:r>
          </w:p>
          <w:p w14:paraId="73CBCCF8" w14:textId="01A7E582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napToGrid/>
                <w:color w:val="000000"/>
                <w:szCs w:val="22"/>
              </w:rPr>
              <w:t>Notched Izod @</w:t>
            </w:r>
            <w:r w:rsidR="00194ACE">
              <w:rPr>
                <w:rFonts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cs="Arial"/>
                <w:snapToGrid/>
                <w:color w:val="000000"/>
                <w:szCs w:val="22"/>
              </w:rPr>
              <w:t>73</w:t>
            </w:r>
            <w:r w:rsidR="009E369F">
              <w:rPr>
                <w:rFonts w:cs="Arial"/>
                <w:snapToGrid/>
                <w:color w:val="000000"/>
                <w:szCs w:val="22"/>
              </w:rPr>
              <w:t>°</w:t>
            </w:r>
            <w:r w:rsidRPr="0048623C">
              <w:rPr>
                <w:rFonts w:cs="Arial"/>
                <w:snapToGrid/>
                <w:color w:val="000000"/>
                <w:szCs w:val="22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83385B" w14:textId="67A10BA2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256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15FB6A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 xml:space="preserve">No Break </w:t>
            </w:r>
          </w:p>
          <w:p w14:paraId="435ACAD4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ft-lb/in</w:t>
            </w:r>
          </w:p>
        </w:tc>
      </w:tr>
      <w:tr w:rsidR="006315B3" w:rsidRPr="0048623C" w14:paraId="4819B407" w14:textId="77777777" w:rsidTr="006729A9">
        <w:trPr>
          <w:cantSplit/>
          <w:trHeight w:val="288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F91AB" w14:textId="77777777" w:rsidR="006315B3" w:rsidRPr="0048623C" w:rsidRDefault="006315B3" w:rsidP="006729A9">
            <w:pPr>
              <w:jc w:val="left"/>
              <w:rPr>
                <w:rFonts w:cs="Arial"/>
                <w:szCs w:val="22"/>
              </w:rPr>
            </w:pPr>
            <w:r w:rsidRPr="0048623C">
              <w:rPr>
                <w:rFonts w:cs="Arial"/>
                <w:szCs w:val="22"/>
              </w:rPr>
              <w:t>Rockwell Hardness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84308D" w14:textId="284841C9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115F47">
              <w:rPr>
                <w:rFonts w:eastAsiaTheme="minorEastAsia" w:cs="Arial"/>
                <w:snapToGrid/>
                <w:color w:val="000000"/>
                <w:szCs w:val="22"/>
              </w:rPr>
              <w:t>ASTM D</w:t>
            </w:r>
            <w:r w:rsidR="00194ACE">
              <w:rPr>
                <w:rFonts w:eastAsiaTheme="minorEastAsia" w:cs="Arial"/>
                <w:snapToGrid/>
                <w:color w:val="000000"/>
                <w:szCs w:val="22"/>
              </w:rPr>
              <w:t xml:space="preserve"> </w:t>
            </w: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785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476C7C" w14:textId="77777777" w:rsidR="006315B3" w:rsidRPr="0048623C" w:rsidRDefault="006315B3" w:rsidP="006729A9">
            <w:pPr>
              <w:jc w:val="center"/>
              <w:rPr>
                <w:rFonts w:eastAsiaTheme="minorEastAsia" w:cs="Arial"/>
                <w:snapToGrid/>
                <w:color w:val="000000"/>
                <w:szCs w:val="22"/>
              </w:rPr>
            </w:pPr>
            <w:r w:rsidRPr="0048623C">
              <w:rPr>
                <w:rFonts w:eastAsiaTheme="minorEastAsia" w:cs="Arial"/>
                <w:snapToGrid/>
                <w:color w:val="000000"/>
                <w:szCs w:val="22"/>
              </w:rPr>
              <w:t>75 R scale</w:t>
            </w:r>
          </w:p>
        </w:tc>
      </w:tr>
    </w:tbl>
    <w:p w14:paraId="1D1C485D" w14:textId="77777777" w:rsidR="006315B3" w:rsidRPr="0048623C" w:rsidRDefault="006315B3" w:rsidP="006315B3">
      <w:pPr>
        <w:rPr>
          <w:rFonts w:cs="Arial"/>
          <w:szCs w:val="22"/>
        </w:rPr>
      </w:pPr>
    </w:p>
    <w:p w14:paraId="6110C6C3" w14:textId="77777777" w:rsidR="006315B3" w:rsidRPr="0048623C" w:rsidRDefault="006315B3" w:rsidP="006315B3">
      <w:pPr>
        <w:rPr>
          <w:rFonts w:cs="Arial"/>
          <w:b/>
          <w:szCs w:val="22"/>
        </w:rPr>
      </w:pPr>
      <w:r w:rsidRPr="0048623C">
        <w:rPr>
          <w:rFonts w:cs="Arial"/>
          <w:b/>
          <w:szCs w:val="22"/>
        </w:rPr>
        <w:t>3.0  Construction Requirements.</w:t>
      </w:r>
    </w:p>
    <w:p w14:paraId="5BA622C5" w14:textId="77777777" w:rsidR="006315B3" w:rsidRPr="0048623C" w:rsidRDefault="006315B3" w:rsidP="006315B3">
      <w:pPr>
        <w:rPr>
          <w:rFonts w:cs="Arial"/>
          <w:szCs w:val="22"/>
        </w:rPr>
      </w:pPr>
    </w:p>
    <w:p w14:paraId="0F90CA0B" w14:textId="2483522F" w:rsidR="006315B3" w:rsidRPr="0048623C" w:rsidRDefault="006315B3" w:rsidP="006315B3">
      <w:pPr>
        <w:rPr>
          <w:rFonts w:cs="Arial"/>
          <w:strike/>
          <w:szCs w:val="22"/>
        </w:rPr>
      </w:pPr>
      <w:r w:rsidRPr="0048623C">
        <w:rPr>
          <w:rFonts w:cs="Arial"/>
          <w:b/>
          <w:bCs/>
          <w:szCs w:val="22"/>
        </w:rPr>
        <w:t xml:space="preserve">3.1  </w:t>
      </w:r>
      <w:r w:rsidRPr="0048623C">
        <w:rPr>
          <w:rFonts w:cs="Arial"/>
          <w:szCs w:val="22"/>
        </w:rPr>
        <w:t>For pile jacket option</w:t>
      </w:r>
      <w:r w:rsidR="00194ACE">
        <w:rPr>
          <w:rFonts w:cs="Arial"/>
          <w:szCs w:val="22"/>
        </w:rPr>
        <w:t>,</w:t>
      </w:r>
      <w:r w:rsidRPr="0048623C">
        <w:rPr>
          <w:rFonts w:cs="Arial"/>
          <w:szCs w:val="22"/>
        </w:rPr>
        <w:t xml:space="preserve"> </w:t>
      </w:r>
      <w:r w:rsidR="009E369F">
        <w:rPr>
          <w:rFonts w:cs="Arial"/>
          <w:szCs w:val="22"/>
        </w:rPr>
        <w:t xml:space="preserve">the </w:t>
      </w:r>
      <w:r w:rsidRPr="0048623C">
        <w:rPr>
          <w:rFonts w:cs="Arial"/>
          <w:szCs w:val="22"/>
        </w:rPr>
        <w:t xml:space="preserve">contractor shall drive piles before construction of the mechanically stabilized earth </w:t>
      </w:r>
      <w:r>
        <w:rPr>
          <w:rFonts w:cs="Arial"/>
          <w:szCs w:val="22"/>
        </w:rPr>
        <w:t xml:space="preserve">(MSE) </w:t>
      </w:r>
      <w:r w:rsidRPr="0048623C">
        <w:rPr>
          <w:rFonts w:cs="Arial"/>
          <w:szCs w:val="22"/>
        </w:rPr>
        <w:t xml:space="preserve">wall. </w:t>
      </w:r>
      <w:r w:rsidR="00194A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48623C">
        <w:rPr>
          <w:rFonts w:cs="Arial"/>
          <w:szCs w:val="22"/>
        </w:rPr>
        <w:t>ile jacket</w:t>
      </w:r>
      <w:r>
        <w:rPr>
          <w:rFonts w:cs="Arial"/>
          <w:szCs w:val="22"/>
        </w:rPr>
        <w:t>s</w:t>
      </w:r>
      <w:r w:rsidRPr="0048623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shall be installed on each pile and placed in the zone between the bottom of the levelling pad and the bottom of beam cap</w:t>
      </w:r>
      <w:r w:rsidRPr="0048623C">
        <w:rPr>
          <w:rFonts w:cs="Arial"/>
          <w:snapToGrid/>
          <w:szCs w:val="22"/>
        </w:rPr>
        <w:t xml:space="preserve">. </w:t>
      </w:r>
      <w:r w:rsidR="00194ACE">
        <w:rPr>
          <w:rFonts w:cs="Arial"/>
          <w:snapToGrid/>
          <w:szCs w:val="22"/>
        </w:rPr>
        <w:t xml:space="preserve"> </w:t>
      </w:r>
      <w:bookmarkStart w:id="1" w:name="_Hlk92799121"/>
      <w:r w:rsidR="00167F04">
        <w:rPr>
          <w:rFonts w:cs="Arial"/>
          <w:snapToGrid/>
          <w:szCs w:val="22"/>
        </w:rPr>
        <w:t>T</w:t>
      </w:r>
      <w:r w:rsidRPr="0048623C">
        <w:rPr>
          <w:rFonts w:cs="Arial"/>
          <w:snapToGrid/>
          <w:szCs w:val="22"/>
        </w:rPr>
        <w:t xml:space="preserve">he pile jacket </w:t>
      </w:r>
      <w:r w:rsidR="00167F04">
        <w:rPr>
          <w:rFonts w:cs="Arial"/>
          <w:snapToGrid/>
          <w:szCs w:val="22"/>
        </w:rPr>
        <w:t xml:space="preserve">shall be installed </w:t>
      </w:r>
      <w:r w:rsidRPr="0048623C">
        <w:rPr>
          <w:rFonts w:cs="Arial"/>
          <w:snapToGrid/>
          <w:szCs w:val="22"/>
        </w:rPr>
        <w:t xml:space="preserve">and </w:t>
      </w:r>
      <w:r w:rsidR="00167F04">
        <w:rPr>
          <w:rFonts w:cs="Arial"/>
          <w:snapToGrid/>
          <w:szCs w:val="22"/>
        </w:rPr>
        <w:t>b</w:t>
      </w:r>
      <w:r w:rsidRPr="0048623C">
        <w:rPr>
          <w:rFonts w:cs="Arial"/>
          <w:snapToGrid/>
          <w:szCs w:val="22"/>
        </w:rPr>
        <w:t xml:space="preserve">ackfill </w:t>
      </w:r>
      <w:r>
        <w:rPr>
          <w:rFonts w:cs="Arial"/>
          <w:snapToGrid/>
          <w:szCs w:val="22"/>
        </w:rPr>
        <w:t xml:space="preserve">and soil reinforcements </w:t>
      </w:r>
      <w:r w:rsidR="00167F04">
        <w:rPr>
          <w:rFonts w:cs="Arial"/>
          <w:snapToGrid/>
          <w:szCs w:val="22"/>
        </w:rPr>
        <w:t xml:space="preserve">shall be placed </w:t>
      </w:r>
      <w:r w:rsidRPr="0048623C">
        <w:rPr>
          <w:rFonts w:cs="Arial"/>
          <w:snapToGrid/>
          <w:szCs w:val="22"/>
        </w:rPr>
        <w:t>around the pile jacket per the pile jacket manufacturer’s installation requirements and recommendations.</w:t>
      </w:r>
      <w:bookmarkEnd w:id="1"/>
      <w:r w:rsidRPr="0048623C">
        <w:rPr>
          <w:rFonts w:cs="Arial"/>
          <w:snapToGrid/>
          <w:szCs w:val="22"/>
        </w:rPr>
        <w:t xml:space="preserve"> </w:t>
      </w:r>
      <w:r w:rsidR="009E369F">
        <w:rPr>
          <w:rFonts w:cs="Arial"/>
          <w:snapToGrid/>
          <w:szCs w:val="22"/>
        </w:rPr>
        <w:t xml:space="preserve"> </w:t>
      </w:r>
      <w:r w:rsidRPr="0048623C">
        <w:rPr>
          <w:rFonts w:cs="Arial"/>
          <w:snapToGrid/>
          <w:szCs w:val="22"/>
        </w:rPr>
        <w:t xml:space="preserve">The contractor </w:t>
      </w:r>
      <w:r w:rsidR="009E369F">
        <w:rPr>
          <w:rFonts w:cs="Arial"/>
          <w:snapToGrid/>
          <w:szCs w:val="22"/>
        </w:rPr>
        <w:t>shall</w:t>
      </w:r>
      <w:r w:rsidRPr="0048623C">
        <w:rPr>
          <w:rFonts w:cs="Arial"/>
          <w:snapToGrid/>
          <w:szCs w:val="22"/>
        </w:rPr>
        <w:t xml:space="preserve"> adequately support the piling to </w:t>
      </w:r>
      <w:r>
        <w:rPr>
          <w:rFonts w:cs="Arial"/>
          <w:snapToGrid/>
          <w:szCs w:val="22"/>
        </w:rPr>
        <w:t>e</w:t>
      </w:r>
      <w:r w:rsidRPr="0048623C">
        <w:rPr>
          <w:rFonts w:cs="Arial"/>
          <w:snapToGrid/>
          <w:szCs w:val="22"/>
        </w:rPr>
        <w:t xml:space="preserve">nsure that proper pile alignment is maintained during wall construction. </w:t>
      </w:r>
      <w:r w:rsidR="009E369F">
        <w:rPr>
          <w:rFonts w:cs="Arial"/>
          <w:snapToGrid/>
          <w:szCs w:val="22"/>
        </w:rPr>
        <w:t xml:space="preserve"> </w:t>
      </w:r>
      <w:r w:rsidRPr="0048623C">
        <w:rPr>
          <w:rFonts w:cs="Arial"/>
          <w:snapToGrid/>
          <w:szCs w:val="22"/>
        </w:rPr>
        <w:t>The contractor's plan for bracing the pile shall be submitted to the engineer for review.</w:t>
      </w:r>
      <w:r>
        <w:rPr>
          <w:rFonts w:cs="Arial"/>
          <w:snapToGrid/>
          <w:szCs w:val="22"/>
        </w:rPr>
        <w:t xml:space="preserve"> </w:t>
      </w:r>
      <w:r w:rsidR="009E369F">
        <w:rPr>
          <w:rFonts w:cs="Arial"/>
          <w:snapToGrid/>
          <w:szCs w:val="22"/>
        </w:rPr>
        <w:t xml:space="preserve"> </w:t>
      </w:r>
      <w:r w:rsidRPr="000753C6">
        <w:rPr>
          <w:rFonts w:cs="Arial"/>
          <w:szCs w:val="22"/>
          <w:lang w:val="en"/>
        </w:rPr>
        <w:t>The contractor sh</w:t>
      </w:r>
      <w:r w:rsidR="009E369F">
        <w:rPr>
          <w:rFonts w:cs="Arial"/>
          <w:szCs w:val="22"/>
          <w:lang w:val="en"/>
        </w:rPr>
        <w:t>all</w:t>
      </w:r>
      <w:r w:rsidRPr="000753C6">
        <w:rPr>
          <w:rFonts w:cs="Arial"/>
          <w:szCs w:val="22"/>
          <w:lang w:val="en"/>
        </w:rPr>
        <w:t xml:space="preserve"> avoid any damage to pile jacket during MSE wall construction. </w:t>
      </w:r>
      <w:r w:rsidR="009E369F">
        <w:rPr>
          <w:rFonts w:cs="Arial"/>
          <w:szCs w:val="22"/>
          <w:lang w:val="en"/>
        </w:rPr>
        <w:t xml:space="preserve"> </w:t>
      </w:r>
      <w:r w:rsidRPr="000753C6">
        <w:rPr>
          <w:rFonts w:cs="Arial"/>
          <w:szCs w:val="22"/>
        </w:rPr>
        <w:t>For damaged pile jacket sections,</w:t>
      </w:r>
      <w:r w:rsidR="009E369F">
        <w:rPr>
          <w:rFonts w:cs="Arial"/>
          <w:szCs w:val="22"/>
        </w:rPr>
        <w:t xml:space="preserve"> the</w:t>
      </w:r>
      <w:r w:rsidRPr="000753C6">
        <w:rPr>
          <w:rFonts w:cs="Arial"/>
          <w:szCs w:val="22"/>
        </w:rPr>
        <w:t xml:space="preserve"> contractor shall follow manufacturer’s recommendations for the proper methods of in-place repair.</w:t>
      </w:r>
    </w:p>
    <w:p w14:paraId="64FFBB41" w14:textId="77777777" w:rsidR="006315B3" w:rsidRPr="0048623C" w:rsidRDefault="006315B3" w:rsidP="006315B3">
      <w:pPr>
        <w:rPr>
          <w:rFonts w:cs="Arial"/>
          <w:strike/>
          <w:szCs w:val="22"/>
        </w:rPr>
      </w:pPr>
    </w:p>
    <w:p w14:paraId="41BFA7A5" w14:textId="77777777" w:rsidR="006315B3" w:rsidRPr="0048623C" w:rsidRDefault="006315B3" w:rsidP="006315B3">
      <w:pPr>
        <w:rPr>
          <w:rFonts w:cs="Arial"/>
          <w:szCs w:val="22"/>
        </w:rPr>
      </w:pPr>
      <w:r w:rsidRPr="0048623C">
        <w:rPr>
          <w:rFonts w:cs="Arial"/>
          <w:b/>
          <w:bCs/>
          <w:szCs w:val="22"/>
        </w:rPr>
        <w:t xml:space="preserve">4.0  Method of Measurement.  </w:t>
      </w:r>
      <w:r w:rsidRPr="0048623C">
        <w:rPr>
          <w:rFonts w:cs="Arial"/>
          <w:color w:val="000000"/>
          <w:szCs w:val="22"/>
        </w:rPr>
        <w:t xml:space="preserve">The </w:t>
      </w:r>
      <w:r>
        <w:rPr>
          <w:rFonts w:cs="Arial"/>
          <w:color w:val="000000"/>
          <w:szCs w:val="22"/>
        </w:rPr>
        <w:t xml:space="preserve">pipe pile spacer or </w:t>
      </w:r>
      <w:r w:rsidRPr="0048623C">
        <w:rPr>
          <w:rFonts w:cs="Arial"/>
          <w:color w:val="000000"/>
          <w:szCs w:val="22"/>
        </w:rPr>
        <w:t xml:space="preserve">pile jacket will be measured </w:t>
      </w:r>
      <w:r>
        <w:rPr>
          <w:rFonts w:cs="Arial"/>
          <w:color w:val="000000"/>
          <w:szCs w:val="22"/>
        </w:rPr>
        <w:t>per each</w:t>
      </w:r>
      <w:r w:rsidRPr="0048623C">
        <w:rPr>
          <w:rFonts w:cs="Arial"/>
          <w:color w:val="000000"/>
          <w:szCs w:val="22"/>
        </w:rPr>
        <w:t>.</w:t>
      </w:r>
      <w:r w:rsidRPr="0048623C">
        <w:rPr>
          <w:rFonts w:cs="Arial"/>
          <w:szCs w:val="22"/>
        </w:rPr>
        <w:t xml:space="preserve"> </w:t>
      </w:r>
    </w:p>
    <w:p w14:paraId="708F4885" w14:textId="77777777" w:rsidR="006315B3" w:rsidRPr="0048623C" w:rsidRDefault="006315B3" w:rsidP="006315B3">
      <w:pPr>
        <w:rPr>
          <w:rFonts w:cs="Arial"/>
          <w:szCs w:val="22"/>
        </w:rPr>
      </w:pPr>
    </w:p>
    <w:p w14:paraId="43DDFF84" w14:textId="77777777" w:rsidR="006315B3" w:rsidRPr="00B4126A" w:rsidRDefault="006315B3" w:rsidP="006315B3">
      <w:pPr>
        <w:rPr>
          <w:rFonts w:cs="Arial"/>
          <w:szCs w:val="22"/>
          <w:highlight w:val="cyan"/>
        </w:rPr>
      </w:pPr>
      <w:r w:rsidRPr="0048623C">
        <w:rPr>
          <w:rFonts w:cs="Arial"/>
          <w:b/>
          <w:bCs/>
          <w:szCs w:val="22"/>
        </w:rPr>
        <w:t xml:space="preserve">5.0  Basis of Payment.  </w:t>
      </w:r>
      <w:r w:rsidRPr="0048623C">
        <w:rPr>
          <w:rFonts w:cs="Arial"/>
          <w:szCs w:val="22"/>
        </w:rPr>
        <w:t xml:space="preserve">Payment for furnishing and installing </w:t>
      </w:r>
      <w:r>
        <w:rPr>
          <w:rFonts w:cs="Arial"/>
          <w:szCs w:val="22"/>
        </w:rPr>
        <w:t xml:space="preserve">pipe pile spacers or </w:t>
      </w:r>
      <w:r w:rsidRPr="0048623C">
        <w:rPr>
          <w:rFonts w:cs="Arial"/>
          <w:szCs w:val="22"/>
        </w:rPr>
        <w:t xml:space="preserve">pile jackets complete in place including all equipment, labor, and any other incidental work necessary to complete this item will be considered completely covered by the contract unit price for </w:t>
      </w:r>
      <w:r>
        <w:rPr>
          <w:rFonts w:cs="Arial"/>
          <w:szCs w:val="22"/>
        </w:rPr>
        <w:t>Pipe P</w:t>
      </w:r>
      <w:r w:rsidRPr="0048623C">
        <w:rPr>
          <w:rFonts w:cs="Arial"/>
          <w:szCs w:val="22"/>
        </w:rPr>
        <w:t xml:space="preserve">ile </w:t>
      </w:r>
      <w:r>
        <w:rPr>
          <w:rFonts w:cs="Arial"/>
          <w:szCs w:val="22"/>
        </w:rPr>
        <w:t>Spacers</w:t>
      </w:r>
      <w:r w:rsidRPr="0048623C">
        <w:rPr>
          <w:rFonts w:cs="Arial"/>
          <w:szCs w:val="22"/>
        </w:rPr>
        <w:t>.</w:t>
      </w:r>
      <w:r w:rsidRPr="00B4126A">
        <w:rPr>
          <w:rFonts w:cs="Arial"/>
          <w:szCs w:val="22"/>
          <w:highlight w:val="cyan"/>
        </w:rPr>
        <w:t xml:space="preserve"> </w:t>
      </w:r>
    </w:p>
    <w:p w14:paraId="36A045B1" w14:textId="77777777" w:rsidR="006315B3" w:rsidRPr="00B4126A" w:rsidRDefault="006315B3" w:rsidP="006315B3">
      <w:pPr>
        <w:autoSpaceDE w:val="0"/>
        <w:autoSpaceDN w:val="0"/>
        <w:adjustRightInd w:val="0"/>
        <w:rPr>
          <w:rFonts w:cs="Arial"/>
          <w:b/>
          <w:bCs/>
          <w:i/>
          <w:iCs/>
          <w:szCs w:val="22"/>
          <w:highlight w:val="cyan"/>
        </w:rPr>
      </w:pPr>
    </w:p>
    <w:p w14:paraId="2707BF18" w14:textId="77777777" w:rsidR="00721007" w:rsidRPr="008E4FF0" w:rsidRDefault="00721007" w:rsidP="008E4FF0"/>
    <w:sectPr w:rsidR="00721007" w:rsidRPr="008E4FF0" w:rsidSect="00194ACE">
      <w:footerReference w:type="default" r:id="rId7"/>
      <w:footerReference w:type="first" r:id="rId8"/>
      <w:endnotePr>
        <w:numFmt w:val="decimal"/>
      </w:endnotePr>
      <w:pgSz w:w="12240" w:h="15840"/>
      <w:pgMar w:top="1440" w:right="1440" w:bottom="720" w:left="1440" w:header="720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3B4B2" w14:textId="77777777" w:rsidR="008B640F" w:rsidRDefault="008B640F">
      <w:r>
        <w:separator/>
      </w:r>
    </w:p>
  </w:endnote>
  <w:endnote w:type="continuationSeparator" w:id="0">
    <w:p w14:paraId="1E23489C" w14:textId="77777777" w:rsidR="008B640F" w:rsidRDefault="008B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330DD" w14:textId="77777777" w:rsidR="000C55E9" w:rsidRDefault="000C55E9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 w:rsidR="0004310B"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F61902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06E8E" w14:textId="77777777" w:rsidR="000C55E9" w:rsidRDefault="000C55E9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 w:rsidR="0004310B"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04310B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1BEDA" w14:textId="77777777" w:rsidR="008B640F" w:rsidRDefault="008B640F">
      <w:r>
        <w:separator/>
      </w:r>
    </w:p>
  </w:footnote>
  <w:footnote w:type="continuationSeparator" w:id="0">
    <w:p w14:paraId="49E9064E" w14:textId="77777777" w:rsidR="008B640F" w:rsidRDefault="008B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F4D64"/>
    <w:multiLevelType w:val="hybridMultilevel"/>
    <w:tmpl w:val="FC3422CE"/>
    <w:lvl w:ilvl="0" w:tplc="F7B6B5CE">
      <w:start w:val="4"/>
      <w:numFmt w:val="upperLetter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434B2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0B"/>
    <w:rsid w:val="0004310B"/>
    <w:rsid w:val="000C55E9"/>
    <w:rsid w:val="000D1A20"/>
    <w:rsid w:val="00164FE1"/>
    <w:rsid w:val="00167F04"/>
    <w:rsid w:val="001732A3"/>
    <w:rsid w:val="00194ACE"/>
    <w:rsid w:val="003D1C6F"/>
    <w:rsid w:val="006315B3"/>
    <w:rsid w:val="00721007"/>
    <w:rsid w:val="00766D33"/>
    <w:rsid w:val="0078062A"/>
    <w:rsid w:val="008533A9"/>
    <w:rsid w:val="00863AB6"/>
    <w:rsid w:val="008B640F"/>
    <w:rsid w:val="008E43B9"/>
    <w:rsid w:val="008E4FF0"/>
    <w:rsid w:val="009A3250"/>
    <w:rsid w:val="009E369F"/>
    <w:rsid w:val="009F6481"/>
    <w:rsid w:val="00A01204"/>
    <w:rsid w:val="00C162E3"/>
    <w:rsid w:val="00E431B6"/>
    <w:rsid w:val="00E80280"/>
    <w:rsid w:val="00F61902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486F0"/>
  <w15:docId w15:val="{248783F6-8D79-49C3-AAEA-CD9FC25C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Pr>
      <w:rFonts w:ascii="Times New Roman" w:hAnsi="Times New Roman"/>
      <w:color w:val="000000"/>
    </w:rPr>
  </w:style>
  <w:style w:type="paragraph" w:customStyle="1" w:styleId="TableText">
    <w:name w:val="Table Text"/>
    <w:rPr>
      <w:snapToGrid w:val="0"/>
      <w:color w:val="000000"/>
      <w:sz w:val="24"/>
    </w:rPr>
  </w:style>
  <w:style w:type="paragraph" w:customStyle="1" w:styleId="single">
    <w:name w:val="single"/>
    <w:rPr>
      <w:snapToGrid w:val="0"/>
      <w:color w:val="000000"/>
      <w:sz w:val="24"/>
    </w:rPr>
  </w:style>
  <w:style w:type="paragraph" w:styleId="BodyText2">
    <w:name w:val="Body Text 2"/>
    <w:basedOn w:val="Normal"/>
    <w:semiHidden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Courier" w:hAnsi="Courier"/>
      <w:snapToGrid/>
      <w:sz w:val="20"/>
    </w:rPr>
  </w:style>
  <w:style w:type="paragraph" w:customStyle="1" w:styleId="Bullet1">
    <w:name w:val="Bullet 1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Pr>
      <w:snapToGrid/>
    </w:rPr>
  </w:style>
  <w:style w:type="paragraph" w:styleId="BlockText">
    <w:name w:val="Block Text"/>
    <w:basedOn w:val="Normal"/>
    <w:semiHidden/>
    <w:pPr>
      <w:tabs>
        <w:tab w:val="center" w:pos="4680"/>
      </w:tabs>
      <w:ind w:left="113" w:right="720"/>
      <w:jc w:val="center"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0B"/>
    <w:rPr>
      <w:rFonts w:ascii="Tahoma" w:hAnsi="Tahoma" w:cs="Tahoma"/>
      <w:snapToGrid w:val="0"/>
      <w:sz w:val="16"/>
      <w:szCs w:val="16"/>
    </w:rPr>
  </w:style>
  <w:style w:type="paragraph" w:customStyle="1" w:styleId="HTMLCite1">
    <w:name w:val="HTML Cite1"/>
    <w:basedOn w:val="Normal"/>
    <w:semiHidden/>
    <w:rsid w:val="008E43B9"/>
    <w:pPr>
      <w:tabs>
        <w:tab w:val="center" w:pos="4320"/>
        <w:tab w:val="right" w:pos="8640"/>
      </w:tabs>
    </w:pPr>
    <w:rPr>
      <w:snapToGrid/>
    </w:rPr>
  </w:style>
  <w:style w:type="character" w:styleId="UnresolvedMention">
    <w:name w:val="Unresolved Mention"/>
    <w:basedOn w:val="DefaultParagraphFont"/>
    <w:uiPriority w:val="99"/>
    <w:semiHidden/>
    <w:unhideWhenUsed/>
    <w:rsid w:val="009A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houshh</dc:creator>
  <cp:lastModifiedBy>Daniel M. Smith</cp:lastModifiedBy>
  <cp:revision>3</cp:revision>
  <cp:lastPrinted>2015-08-19T18:16:00Z</cp:lastPrinted>
  <dcterms:created xsi:type="dcterms:W3CDTF">2022-01-11T18:46:00Z</dcterms:created>
  <dcterms:modified xsi:type="dcterms:W3CDTF">2022-01-11T19:21:00Z</dcterms:modified>
</cp:coreProperties>
</file>